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89R2990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2000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sex offender registration requirements to the offense of child grooming.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62.001(5), Code of Criminal Procedure, is amended to read as follows:</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21.02 (Continuous sexual abuse of young child or disabled individual), 21.09 (Bestiality), 21.11 (Indecency with a child), 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43.04 (Aggravated promotion of prostitution),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43.021 (Solicitation of Prostitution), Penal Code, if the offense is punishable as a felony of the second degree;</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30.02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21.08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15,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w:t>
      </w:r>
      <w:r>
        <w:rPr>
          <w:strike/>
        </w:rPr>
        <w:t xml:space="preserve">or</w:t>
      </w:r>
      <w:r>
        <w:t xml:space="preserve">] (L), </w:t>
      </w:r>
      <w:r>
        <w:rPr>
          <w:u w:val="single"/>
        </w:rPr>
        <w:t xml:space="preserve">or (M),</w:t>
      </w:r>
      <w:r>
        <w:t xml:space="preserve">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w:t>
      </w:r>
      <w:r>
        <w:rPr>
          <w:strike/>
        </w:rPr>
        <w:t xml:space="preserve">or</w:t>
      </w:r>
      <w:r>
        <w:t xml:space="preserve">]</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20A.02(a)(3), (4), (7), or (8) of that code</w:t>
      </w:r>
      <w:r>
        <w:rPr>
          <w:u w:val="single"/>
        </w:rPr>
        <w:t xml:space="preserve">;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violation of Section 15.032 (Child grooming), Penal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