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 Schatzline, Leo Wilson, Pierson,</w:t>
      </w:r>
      <w:r xml:space="preserve">
        <w:tab wTab="150" tlc="none" cTlc="0"/>
      </w:r>
      <w:r>
        <w:t xml:space="preserve">H.B.</w:t>
      </w:r>
      <w:r xml:space="preserve">
        <w:t> </w:t>
      </w:r>
      <w:r>
        <w:t xml:space="preserve">No.</w:t>
      </w:r>
      <w:r xml:space="preserve">
        <w:t> </w:t>
      </w:r>
      <w:r>
        <w:t xml:space="preserve">2017</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and changing the eligibility for community supervision, mandatory supervision, and parole for certain persons convicted of intoxication manslaughter.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Grayson's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49.09(b-2), Penal Code, is amended to read as follows:</w:t>
      </w:r>
    </w:p>
    <w:p w:rsidR="003F3435" w:rsidRDefault="0032493E">
      <w:pPr>
        <w:spacing w:line="480" w:lineRule="auto"/>
        <w:ind w:firstLine="720"/>
        <w:jc w:val="both"/>
      </w:pPr>
      <w:r>
        <w:t xml:space="preserve">(b-2)</w:t>
      </w:r>
      <w:r xml:space="preserve">
        <w:t> </w:t>
      </w:r>
      <w:r xml:space="preserve">
        <w:t> </w:t>
      </w:r>
      <w:r>
        <w:t xml:space="preserve">An offense under Section 49.08 is a felony of the first degree if it is shown on the trial of the offense that the person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caused the death of a person described by Subsection (b-1)</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previously been convicted of an offense relating to the operating of a motor vehicle while intoxicated, operating an aircraft while intoxicated, operating a watercraft while intoxicated, or operating or assembling an amusement ride while intoxicated, and at the time of the commission of the instant offense was in violation of Chapter 51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42A.059, Code of Criminal Procedure, is amended to read as follows:</w:t>
      </w:r>
    </w:p>
    <w:p w:rsidR="003F3435" w:rsidRDefault="0032493E">
      <w:pPr>
        <w:spacing w:line="480" w:lineRule="auto"/>
        <w:ind w:firstLine="720"/>
        <w:jc w:val="both"/>
      </w:pPr>
      <w:r>
        <w:t xml:space="preserve">Art.</w:t>
      </w:r>
      <w:r xml:space="preserve">
        <w:t> </w:t>
      </w:r>
      <w:r>
        <w:t xml:space="preserve">42A.059.</w:t>
      </w:r>
      <w:r xml:space="preserve">
        <w:t> </w:t>
      </w:r>
      <w:r xml:space="preserve">
        <w:t> </w:t>
      </w:r>
      <w:r>
        <w:t xml:space="preserve">PLACEMENT ON COMMUNITY SUPERVISION PROHIBITED FOR CERTAIN OFFENSES INVOLVING ILLEGAL ENTRY INTO THIS STATE.  Notwithstanding any other provision of this chapter, a defendant is not eligible for community supervision, including deferred adjudication community supervision, under this chapter if the defendant is charged with or convicted of an offense under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Chapter 51, Penal Code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49.08, Penal Code, if the offense is punishable under Section 49.09(b-2)(2), Penal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508.145, Government Code,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An inmate serving a sentence for an offense punishable under Section 49.09(b-2)(2), Penal Code, is not eligible for release on parole until the actual calendar time served, without consideration of good conduct time, equals 10 years.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508.147,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Except as provided by </w:t>
      </w:r>
      <w:r>
        <w:rPr>
          <w:u w:val="single"/>
        </w:rPr>
        <w:t xml:space="preserve">Subsection (a-1) and</w:t>
      </w:r>
      <w:r>
        <w:t xml:space="preserve"> Section 508.149, a parole panel shall order the release of an inmate who is not on parole to mandatory supervision when the actual calendar time the inmate has served plus any accrued good conduct time equals the term to which the inmate was sentenced.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inmate serving a sentence for an offense punishable under Section 49.09(b-2)(2)</w:t>
      </w:r>
      <w:r>
        <w:rPr>
          <w:u w:val="single"/>
        </w:rPr>
        <w:t xml:space="preserve">, Penal Code, may not be released to mandatory supervision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inmate's actual calendar time served, without consideration of good conduct time, equals at least 10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inmate is otherwise eligible for release under Subsection (a).</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