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2018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Hinojosa of Nueces)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2025;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read first time and referred to Committee on Water, Agriculture and Rural Affairs;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Texas Farm and Ranch Lands Conservation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84.002(1), Parks and Wildlife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"Agricultural conservation easement" means a conservation easement in qualified land that is designed to </w:t>
      </w:r>
      <w:r>
        <w:rPr>
          <w:u w:val="single"/>
        </w:rPr>
        <w:t xml:space="preserve">maintain the land's agricultural or timber use and</w:t>
      </w:r>
      <w:r>
        <w:t xml:space="preserve"> accomplish one or more of the following additional purposes: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conserving water quality or quantity;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conserving native wildlife species through protection of their habitat;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conserving rare or sensitive plant species;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conserving large tracts of qualified open-space land that are threatened with fragmentation or development.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84.009(a),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council may: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rules necessary to perform program duties under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request, accept, and use gifts, loans, donations, aid, appropriations, guaranties, subsidies, grants, or contributions of any item of value for the furtherance of any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establish, charge, and collect fees, charges, and penalties in connection with the programs, services, and activities provided for by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make, enter into, and enforce contracts and agreements, and take other actions as may accomplish any of the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seek ways to coordinate and leverage public and private sources of funding;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adopt best practices and enforcement standards for the evaluation of easements purchased through grants from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establish a protocol for the purchase of agricultural conservation easements and for the distribution of funds to approved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administer grants awarded to successful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ensure that agricultural conservation easements purchased under this chapter are not inconsistent with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the preservation of open space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maintenance of the land's agricultural or timber use;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 xml:space="preserve">
        <w:t> </w:t>
      </w:r>
      <w:r>
        <w:t xml:space="preserve">the conservation of wildlife habitat or water;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approve the termination of easements and take any other action necessary to further the goals of the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84.010,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84.010.</w:t>
      </w:r>
      <w:r xml:space="preserve">
        <w:t> </w:t>
      </w:r>
      <w:r xml:space="preserve">
        <w:t> </w:t>
      </w:r>
      <w:r>
        <w:t xml:space="preserve">CRITERIA FOR AWARDING GRANTS. </w:t>
      </w:r>
      <w:r>
        <w:t xml:space="preserve"> </w:t>
      </w:r>
      <w:r>
        <w:t xml:space="preserve">The council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give priority to applications that protect </w:t>
      </w:r>
      <w:r>
        <w:rPr>
          <w:u w:val="single"/>
        </w:rPr>
        <w:t xml:space="preserve">and maintain the</w:t>
      </w:r>
      <w:r>
        <w:t xml:space="preserve"> agricultural </w:t>
      </w:r>
      <w:r>
        <w:rPr>
          <w:u w:val="single"/>
        </w:rPr>
        <w:t xml:space="preserve">or timber productivity of</w:t>
      </w:r>
      <w:r>
        <w:t xml:space="preserve"> lands that are susceptible to development, including subdivision and fragmentation;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adopt a scoring process to be used in evaluating applications that considers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maintenance of landscape and watershed integrity to conserve water and natural resources;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protection of habitats for native plant and animal species, including habitats for endangered, threatened, rare, or sensitive species;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potential for leveraging state money allocated to the program with additional public or private money;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proximity of the subject property to other protected lands;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term of the proposed easement, whether perpetual or for a term of 30 years;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land's agricultural or timber productivity;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a resource management plan agreed to by both parties and approved by the council.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