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89R21546 SCR-F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et al.</w:t>
      </w:r>
      <w:r xml:space="preserve">
        <w:tab wTab="150" tlc="none" cTlc="0"/>
      </w:r>
      <w:r>
        <w:t xml:space="preserve">H.B.</w:t>
      </w:r>
      <w:r xml:space="preserve">
        <w:t> </w:t>
      </w:r>
      <w:r>
        <w:t xml:space="preserve">No.</w:t>
      </w:r>
      <w:r xml:space="preserve">
        <w:t> </w:t>
      </w:r>
      <w:r>
        <w:t xml:space="preserve">2067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2067:</w:t>
      </w: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C.S.H.B.</w:t>
      </w:r>
      <w:r xml:space="preserve">
        <w:t> </w:t>
      </w:r>
      <w:r>
        <w:t xml:space="preserve">No.</w:t>
      </w:r>
      <w:r xml:space="preserve">
        <w:t> </w:t>
      </w:r>
      <w:r>
        <w:t xml:space="preserve">2067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cancellation and nonrenewal of any insurance policy regulated by the department under:</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Chapter 5;</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Chapter 1804, 1805, 2171, or 2301;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Subtitle C, D, E, or F, Title 10</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declination of any insurance policy regulated by the department under a provision of this code listed in Subdivision (1) other than a workers' compensation insurance policy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 Insurance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cancels, or refuses to renew an insurance policy to which Section 551.001 applies</w:t>
      </w:r>
      <w:r>
        <w:t xml:space="preserve">, </w:t>
      </w:r>
      <w:r>
        <w:rPr>
          <w:u w:val="single"/>
        </w:rPr>
        <w:t xml:space="preserve">other than a workers' compensation insurance policy</w:t>
      </w:r>
      <w:r>
        <w:t xml:space="preserve"> [</w:t>
      </w:r>
      <w:r>
        <w:rPr>
          <w:strike/>
        </w:rPr>
        <w:t xml:space="preserve">on request by an applicant for insurance or a policyholder</w:t>
      </w:r>
      <w:r>
        <w:t xml:space="preserve">], to provide [</w:t>
      </w:r>
      <w:r>
        <w:rPr>
          <w:strike/>
        </w:rPr>
        <w:t xml:space="preserve">to the applicant or policyholder</w:t>
      </w:r>
      <w:r>
        <w:t xml:space="preserve">] a written statement of the reasons for the declination, cancellation, or nonrenewal of </w:t>
      </w:r>
      <w:r>
        <w:rPr>
          <w:u w:val="single"/>
        </w:rPr>
        <w:t xml:space="preserve">the</w:t>
      </w:r>
      <w:r>
        <w:t xml:space="preserve"> [</w:t>
      </w:r>
      <w:r>
        <w:rPr>
          <w:strike/>
        </w:rPr>
        <w:t xml:space="preserve">an insurance</w:t>
      </w:r>
      <w:r>
        <w:t xml:space="preserve">] policy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 or policyholder if Subdivision (2) does not apply;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or policyholder uses a property and casualty agent who is licensed under this code and is not a captive agent, the agent</w:t>
      </w:r>
      <w:r>
        <w:t xml:space="preserve"> [</w:t>
      </w:r>
      <w:r>
        <w:rPr>
          <w:strike/>
        </w:rPr>
        <w:t xml:space="preserve">which Section 551.001 applies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an applicant for or policyholder of an insurance policy described by Subsection (a) uses an agent described by Subsection (a)(2), the agent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written disclosure to the applicant or policyholder that any notice provided under this section will be sent to the agent;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applicant or policyholder with a declination, cancellation, or nonrenewal statement for the applicant's or policyholder's insurance policy that was provided to the agent under Subsection (a).</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commissioner shall require an insurer that writes workers' compensation insurance, on request by an applicant for workers' compensation insurance or a policyholder, to provide to the applicant or policyholder a written statement of the reasons for the declination, cancellation, or nonrenewal of a workers' compensation insurance policy.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551, Insurance Code, is amended by adding Section 551.006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551.006.</w:t>
      </w:r>
      <w:r>
        <w:rPr>
          <w:u w:val="single"/>
        </w:rPr>
        <w:t xml:space="preserve"> </w:t>
      </w:r>
      <w:r>
        <w:rPr>
          <w:u w:val="single"/>
        </w:rPr>
        <w:t xml:space="preserve"> </w:t>
      </w:r>
      <w:r>
        <w:rPr>
          <w:u w:val="single"/>
        </w:rPr>
        <w:t xml:space="preserve">REPORT REQUIRED.  (a)  An insurer shall provide to the department at least once each quarter a written report summarizing the insurer's written statements of reasons for declination, cancellation, or nonrenewal provided to applicants for insurance or policyholders as required by this chapter.  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form and manner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organized by the zip code of the applicant or policyholder that received the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written statements of reasons for declination, cancellation, or nonrenewal provided to applicants for or policyholders of workers' compensation insurance policies.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551, Insurance Code, is amended to read as follows:</w:t>
      </w:r>
    </w:p>
    <w:p w:rsidR="003F3435" w:rsidRDefault="0032493E">
      <w:pPr>
        <w:spacing w:line="480" w:lineRule="auto"/>
        <w:jc w:val="center"/>
      </w:pPr>
      <w:r>
        <w:t xml:space="preserve">SUBCHAPTER B.  </w:t>
      </w:r>
      <w:r>
        <w:rPr>
          <w:u w:val="single"/>
        </w:rPr>
        <w:t xml:space="preserve">DECLINATION,</w:t>
      </w:r>
      <w:r>
        <w:t xml:space="preserve"> CANCELLATION</w:t>
      </w:r>
      <w:r>
        <w:rPr>
          <w:u w:val="single"/>
        </w:rPr>
        <w:t xml:space="preserve">,</w:t>
      </w:r>
      <w:r>
        <w:t xml:space="preserve"> AND NONRENEWAL OF CERTAIN LIABILITY AND COMMERCIAL PROPERTY INSURANCE POLICIES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an application for a liability insurance or commercial property insurance policy shall deliver or mail written notice of the declination to the applicant.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the changes in law made by this Act apply only to an application for insurance that is made or an insurance policy that is delivered, issued for delivery, or renewed on or after March 1, 2026.  An application made or policy delivered, issued for delivery, or renewed before March 1, 2026, is governed by the law as it existed immediately before that date,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Subsection (a) of this section does not apply to Section 551.006, Insurance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