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2073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violations of certain court orders or conditions of bond in cases involving family violence, child abuse or neglect, sexual assault or abuse, indecent assault, stalking, or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25.07(g), Penal Code, is amended to read as follows:</w:t>
      </w:r>
    </w:p>
    <w:p w:rsidR="003F3435" w:rsidRDefault="0032493E">
      <w:pPr>
        <w:spacing w:line="480" w:lineRule="auto"/>
        <w:ind w:firstLine="720"/>
        <w:jc w:val="both"/>
      </w:pPr>
      <w:r>
        <w:t xml:space="preserve">(g)</w:t>
      </w:r>
      <w:r xml:space="preserve">
        <w:t> </w:t>
      </w:r>
      <w:r xml:space="preserve">
        <w:t> </w:t>
      </w:r>
      <w:r>
        <w:t xml:space="preserve">An offense under this section is a Class A misdemeanor, except the offense is:</w:t>
      </w:r>
    </w:p>
    <w:p w:rsidR="003F3435" w:rsidRDefault="0032493E">
      <w:pPr>
        <w:spacing w:line="480" w:lineRule="auto"/>
        <w:ind w:firstLine="1440"/>
        <w:jc w:val="both"/>
      </w:pPr>
      <w:r>
        <w:t xml:space="preserve">(1)</w:t>
      </w:r>
      <w:r xml:space="preserve">
        <w:t> </w:t>
      </w:r>
      <w:r xml:space="preserve">
        <w:t> </w:t>
      </w:r>
      <w:r>
        <w:t xml:space="preserve">subject to Subdivision (2), 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at the trial of the offense that the defendant violated an order issued under Subchapter A, Chapter 7B, Code of Criminal Procedure, following the defendant's conviction of or placement on deferred adjudication community supervision for an offense, if the order was issued with respect to a victim of that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violates an order or a condition of bond in the manner described by Subsection (a)(1), (2), (3), (5), (6), or (7) while possessing a deadly weapon;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w:t>
      </w:r>
    </w:p>
    <w:p w:rsidR="003F3435" w:rsidRDefault="0032493E">
      <w:pPr>
        <w:spacing w:line="480" w:lineRule="auto"/>
        <w:ind w:firstLine="2160"/>
        <w:jc w:val="both"/>
      </w:pPr>
      <w:r>
        <w:t xml:space="preserve">(A)</w:t>
      </w:r>
      <w:r xml:space="preserve">
        <w:t> </w:t>
      </w:r>
      <w:r xml:space="preserve">
        <w:t> </w:t>
      </w:r>
      <w:r>
        <w:t xml:space="preserve">has previously been convicted two or more times of an offense under this section or two or more times of an offense under Section 25.072, or has previously been convicted of an offense under this section and an offense under Section 25.072; or</w:t>
      </w:r>
    </w:p>
    <w:p w:rsidR="003F3435" w:rsidRDefault="0032493E">
      <w:pPr>
        <w:spacing w:line="480" w:lineRule="auto"/>
        <w:ind w:firstLine="2160"/>
        <w:jc w:val="both"/>
      </w:pPr>
      <w:r>
        <w:t xml:space="preserve">(B)</w:t>
      </w:r>
      <w:r xml:space="preserve">
        <w:t> </w:t>
      </w:r>
      <w:r xml:space="preserve">
        <w:t> </w:t>
      </w:r>
      <w:r>
        <w:t xml:space="preserve">has violated the order or </w:t>
      </w:r>
      <w:r>
        <w:rPr>
          <w:u w:val="single"/>
        </w:rPr>
        <w:t xml:space="preserve">the</w:t>
      </w:r>
      <w:r>
        <w:t xml:space="preserve"> condition of bond by committing an assault or the offense of stalking.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25.072(e),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w:t>
      </w:r>
      <w:r>
        <w:rPr>
          <w:u w:val="single"/>
        </w:rPr>
        <w:t xml:space="preserve">, except the offense is a felony of the second degree if it is shown on the trial of the offense that at least one time the person engaged in conduct that was punishable as a state jail felony under Section 25.07(g)(1)(B)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2073 was passed by the House on May 10, 2025, by the following vote:</w:t>
      </w:r>
      <w:r xml:space="preserve">
        <w:t> </w:t>
      </w:r>
      <w:r xml:space="preserve">
        <w:t> </w:t>
      </w:r>
      <w:r>
        <w:t xml:space="preserve">Yeas 134,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2073 was passed by the Senate on May 26,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