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89R25036 CMO-F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VanDeaver, Hefner, Luther, Dean,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2109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Martinez</w:t>
      </w:r>
    </w:p>
    <w:p w:rsidR="003F3435" w:rsidRDefault="0032493E">
      <w:pPr>
        <w:spacing w:before="240"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2109: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Martinez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2109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removal of certain proposed reservoir sites from the state water plan.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16.051(g-1), Water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(g-1)</w:t>
      </w:r>
      <w:r xml:space="preserve">
        <w:t> </w:t>
      </w:r>
      <w:r xml:space="preserve">
        <w:t> </w:t>
      </w:r>
      <w:r>
        <w:t xml:space="preserve">Notwithstanding any other [</w:t>
      </w:r>
      <w:r>
        <w:rPr>
          <w:strike/>
        </w:rPr>
        <w:t xml:space="preserve">provisions of</w:t>
      </w:r>
      <w:r>
        <w:t xml:space="preserve">] law, </w:t>
      </w:r>
      <w:r>
        <w:rPr>
          <w:u w:val="single"/>
        </w:rPr>
        <w:t xml:space="preserve">except as provided by Section 16.0511,</w:t>
      </w:r>
      <w:r>
        <w:t xml:space="preserve"> a site is considered to be a designated site of unique value for the construction of a reservoir if the site is recommended for designation in the 2007 state water plan adopted by the board and in effect on May 1, 2007.  The designation of a unique reservoir site under this subsection terminates on September 1, 2015, unless there is an affirmative vote by a proposed project sponsor to make expenditures necessary in order to construct or file applications for permits required in connection with the construction of the reservoir under federal or state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16, Water Code, is amended by adding Section 16.0511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16.0511.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REMOVAL OF CERTAIN SITES FOR PROPOSED RESERVOIR FROM STATE WATER PLAN.  (a)  Notwithstanding Section 16.051, the board shall remove a site designated as a site of unique value for the construction of a reservoir in the state water plan under Section 16.051, regardless of the site's inclusion in a regional water plan under Section 16.053, if construction of a reservoir at the site does not begin before the 50th anniversary of the site's initial inclusion in any version of the plan.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site removed from the state water plan under Subsection (a) may not be included in any subsequent version of the plan.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apply to the site of a proposed reservoir for which a water right was issued by the commission on or before September 1,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2109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