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2109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of a proposed reservoir project from the State Water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16.0511, Water Code, is added as follows:</w:t>
      </w:r>
    </w:p>
    <w:p w:rsidR="003F3435" w:rsidRDefault="0032493E">
      <w:pPr>
        <w:spacing w:line="480" w:lineRule="auto"/>
        <w:ind w:firstLine="720"/>
        <w:jc w:val="both"/>
      </w:pPr>
      <w:r>
        <w:t xml:space="preserve">Sec.</w:t>
      </w:r>
      <w:r xml:space="preserve">
        <w:t> </w:t>
      </w:r>
      <w:r>
        <w:t xml:space="preserve">16.0511.</w:t>
      </w:r>
      <w:r xml:space="preserve">
        <w:t> </w:t>
      </w:r>
      <w:r xml:space="preserve">
        <w:t> </w:t>
      </w:r>
      <w:r>
        <w:t xml:space="preserve">REMOVAL OF A PROPOSED RESERVOIR PROJECT FROM THE STATE WATER PLAN.  (a)  The executive administrator shall remove a proposed reservoir project from the state water plan if construction has not begun within 50 years of being included in any version of the plan by the Board or its preceding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16.0511, Water Code, as added by this Act, applies to a proposed reservoir project included in any version of the state water plan for the previous 50 years or more.  Once a proposed project has been removed by the executive administrator, the project is not eligible for inclusion in any future version of the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