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89R4380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2110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28.0095(c), (e),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w:t>
      </w:r>
      <w:r>
        <w:rPr>
          <w:u w:val="single"/>
        </w:rPr>
        <w:t xml:space="preserve">a grade level from 9 through 12</w:t>
      </w:r>
      <w:r>
        <w:t xml:space="preserve"> [</w:t>
      </w:r>
      <w:r>
        <w:rPr>
          <w:strike/>
        </w:rPr>
        <w:t xml:space="preserve">high school</w:t>
      </w:r>
      <w:r>
        <w:t xml:space="preserve">]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school year in which the student enrolls in the dual credit course described by Subdivision (1)(B); or</w:t>
      </w:r>
    </w:p>
    <w:p w:rsidR="003F3435" w:rsidRDefault="0032493E">
      <w:pPr>
        <w:spacing w:line="480" w:lineRule="auto"/>
        <w:ind w:firstLine="2160"/>
        <w:jc w:val="both"/>
      </w:pPr>
      <w:r>
        <w:rPr>
          <w:u w:val="single"/>
        </w:rPr>
        <w:t xml:space="preserve">(B)</w:t>
      </w:r>
      <w:r xml:space="preserve">
        <w:t> </w:t>
      </w:r>
      <w:r xml:space="preserve">
        <w:t> </w:t>
      </w:r>
      <w:r>
        <w:t xml:space="preserve">the four school years preceding the student's enrollment in the dual credit course described by Subdivision (1)(B).</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the</w:t>
      </w:r>
      <w:r>
        <w:t xml:space="preserve"> [</w:t>
      </w:r>
      <w:r>
        <w:rPr>
          <w:strike/>
        </w:rPr>
        <w:t xml:space="preserve">a high school student's</w:t>
      </w:r>
      <w:r>
        <w:t xml:space="preserve">] enrollment </w:t>
      </w:r>
      <w:r>
        <w:rPr>
          <w:u w:val="single"/>
        </w:rPr>
        <w:t xml:space="preserve">of a student in a grade level from 9 through 12</w:t>
      </w:r>
      <w:r>
        <w:t xml:space="preserve">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 </w:t>
      </w:r>
      <w:r>
        <w:rPr>
          <w:u w:val="single"/>
        </w:rPr>
        <w:t xml:space="preserve">The agency shall make available to school districts and charter schools the data necessary for making the determination required under Subsection (e)(1).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54, Education Code, is amended by adding Section 54.215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54.215.</w:t>
      </w:r>
      <w:r>
        <w:rPr>
          <w:u w:val="single"/>
        </w:rPr>
        <w:t xml:space="preserve"> </w:t>
      </w:r>
      <w:r>
        <w:rPr>
          <w:u w:val="single"/>
        </w:rPr>
        <w:t xml:space="preserve"> </w:t>
      </w:r>
      <w:r>
        <w:rPr>
          <w:u w:val="single"/>
        </w:rPr>
        <w:t xml:space="preserve">FINANCIAL AID FOR SWIFT TRANSFER (FAST) PROGRAM. </w:t>
      </w:r>
      <w:r>
        <w:rPr>
          <w:u w:val="single"/>
        </w:rPr>
        <w:t xml:space="preserve"> </w:t>
      </w:r>
      <w:r>
        <w:rPr>
          <w:u w:val="single"/>
        </w:rPr>
        <w:t xml:space="preserve">The governing board of an institution of higher education participating in the Financial Aid for Swift Transfer (FAST) program under Section 28.0095 shall exempt from the payment of tuition and required fees for a dual credit course, as defined by that section, a student who is eligible for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associated with a junior college district described by Subchapter J, Chapter 130</w:t>
      </w:r>
      <w:r>
        <w:t xml:space="preserve"> [</w:t>
      </w:r>
      <w:r>
        <w:rPr>
          <w:strike/>
        </w:rPr>
        <w:t xml:space="preserve">listed as a public junior college in accordance with Section 61.063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61, Education Code, is amended by adding Section 61.0275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61.0275.</w:t>
      </w:r>
      <w:r>
        <w:rPr>
          <w:u w:val="single"/>
        </w:rPr>
        <w:t xml:space="preserve"> </w:t>
      </w:r>
      <w:r>
        <w:rPr>
          <w:u w:val="single"/>
        </w:rPr>
        <w:t xml:space="preserve"> </w:t>
      </w:r>
      <w:r>
        <w:rPr>
          <w:u w:val="single"/>
        </w:rPr>
        <w:t xml:space="preserve">ADOPTION BY REFERENCE.  The board may adopt by reference a manual or policy document as a rule.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130A.005,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the emergency rulemaking procedures established under Section 2001.034, Government Code, to adopt rules necessary to align the funding formulas under this chapter with appropriations or other legislative action. The coordinating board is not required to make the finding described by Section 2001.034(a), Government Code, to adopt rules under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130A.101(c),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measurable outcomes considered for purposes of performance tier funding are:</w:t>
      </w:r>
    </w:p>
    <w:p w:rsidR="003F3435" w:rsidRDefault="0032493E">
      <w:pPr>
        <w:spacing w:line="480" w:lineRule="auto"/>
        <w:ind w:firstLine="1440"/>
        <w:jc w:val="both"/>
      </w:pPr>
      <w:r>
        <w:t xml:space="preserve">(1)</w:t>
      </w:r>
      <w:r xml:space="preserve">
        <w:t> </w:t>
      </w:r>
      <w:r xml:space="preserve">
        <w:t> </w:t>
      </w:r>
      <w:r>
        <w:t xml:space="preserve">the number of credentials of value awarded, as determined by the coordinating board based on analyses of wages and costs associated with the credential, including degrees, certificates, and other credentials from credit and non-credit programs that equip students for continued learning and greater earnings in the state economy, with an additional weight for placement of students who earn that credential in a high-demand occupation, as defined by coordinating board rule, or an appropriate proxy determined by the coordinating board based on available data;</w:t>
      </w:r>
    </w:p>
    <w:p w:rsidR="003F3435" w:rsidRDefault="0032493E">
      <w:pPr>
        <w:spacing w:line="480" w:lineRule="auto"/>
        <w:ind w:firstLine="1440"/>
        <w:jc w:val="both"/>
      </w:pPr>
      <w:r>
        <w:t xml:space="preserve">(2)</w:t>
      </w:r>
      <w:r xml:space="preserve">
        <w:t> </w:t>
      </w:r>
      <w:r xml:space="preserve">
        <w:t> </w:t>
      </w:r>
      <w:r>
        <w:t xml:space="preserve">the number of students who earn at least 15 semester credit hours or the equivalent at the junior college district and:</w:t>
      </w:r>
    </w:p>
    <w:p w:rsidR="003F3435" w:rsidRDefault="0032493E">
      <w:pPr>
        <w:spacing w:line="480" w:lineRule="auto"/>
        <w:ind w:firstLine="2160"/>
        <w:jc w:val="both"/>
      </w:pPr>
      <w:r>
        <w:t xml:space="preserve">(A)</w:t>
      </w:r>
      <w:r xml:space="preserve">
        <w:t> </w:t>
      </w:r>
      <w:r xml:space="preserve">
        <w:t> </w:t>
      </w:r>
      <w:r>
        <w:t xml:space="preserve">subsequently transfer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general academic teaching institution, as that term is defined by Section 61.003;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or independent institution of higher education, as that term is defined by Section 61.003, that offers four-year degree programs; or</w:t>
      </w:r>
    </w:p>
    <w:p w:rsidR="003F3435" w:rsidRDefault="0032493E">
      <w:pPr>
        <w:spacing w:line="480" w:lineRule="auto"/>
        <w:ind w:firstLine="2160"/>
        <w:jc w:val="both"/>
      </w:pPr>
      <w:r>
        <w:t xml:space="preserve">(B)</w:t>
      </w:r>
      <w:r xml:space="preserve">
        <w:t> </w:t>
      </w:r>
      <w:r xml:space="preserve">
        <w:t> </w:t>
      </w:r>
      <w:r>
        <w:t xml:space="preserve">are enrolled in a structured co-enrollment program, as authorized by coordinating board rule; and</w:t>
      </w:r>
    </w:p>
    <w:p w:rsidR="003F3435" w:rsidRDefault="0032493E">
      <w:pPr>
        <w:spacing w:line="480" w:lineRule="auto"/>
        <w:ind w:firstLine="1440"/>
        <w:jc w:val="both"/>
      </w:pPr>
      <w:r>
        <w:t xml:space="preserve">(3)</w:t>
      </w:r>
      <w:r xml:space="preserve">
        <w:t> </w:t>
      </w:r>
      <w:r xml:space="preserve">
        <w:t> </w:t>
      </w:r>
      <w:r>
        <w:t xml:space="preserve">the number of students who complete a sequence of at least 15 semester credit hours or the equivalent for dual credit or dual enrollment courses, as defined by coordinating board rule, that apply toward academic or workforce program requirements at the postsecondary level.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28.0095,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54.215, Education Code, as added by this Act, applies beginning with tuition and required fees charged for the 2025 fall semester. Tuition and required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130A.101(c), Education Code, as amended by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