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89R10965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the Texas Maternal Mortality and Morbidity Review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34.005,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34.005.</w:t>
      </w:r>
      <w:r xml:space="preserve">
        <w:t> </w:t>
      </w:r>
      <w:r xml:space="preserve">
        <w:t> </w:t>
      </w:r>
      <w:r>
        <w:t xml:space="preserve">DUTIES OF REVIEW COMMITTEE. </w:t>
      </w:r>
      <w:r>
        <w:t xml:space="preserve"> </w:t>
      </w:r>
      <w:r>
        <w:t xml:space="preserve">The review committee shall </w:t>
      </w:r>
      <w:r>
        <w:rPr>
          <w:u w:val="single"/>
        </w:rPr>
        <w:t xml:space="preserve">annually, using data from the preceding year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study and review: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cases of pregnancy-related deaths;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trends, rates, </w:t>
      </w:r>
      <w:r>
        <w:rPr>
          <w:u w:val="single"/>
        </w:rPr>
        <w:t xml:space="preserve">and</w:t>
      </w:r>
      <w:r>
        <w:t xml:space="preserve"> [</w:t>
      </w:r>
      <w:r>
        <w:rPr>
          <w:strike/>
        </w:rPr>
        <w:t xml:space="preserve">or</w:t>
      </w:r>
      <w:r>
        <w:t xml:space="preserve">] disparities in pregnancy-related deaths and severe maternal morbidity;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health conditions and factors that disproportionately affect the most at-risk population as determined in the joint biennial report required under Section 34.015;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best practices and programs operating in other states that have reduced rates of pregnancy-related deaths;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compare rates of pregnancy-related deaths based on the socioeconomic status of the mother;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determine the feasibility of the review committee studying cases of severe maternal morbidity;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 consultation with the Perinatal Advisory Council, make recommendations to help reduce the incidence of pregnancy-related deaths and severe maternal morbidity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