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2128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study of rural firefighting and technical rescue service capabilities.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STUDY ON RURAL FIREFIGHTING AND TECHNICAL RESCUE SERVICE CAPABILITIES.  (a) </w:t>
      </w:r>
      <w:r>
        <w:t xml:space="preserve"> </w:t>
      </w:r>
      <w:r>
        <w:t xml:space="preserve">In this Act, "service" means the Texas A&amp;M Engineering Extension Service.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service shall conduct a study of rural firefighting and technical rescue service capabilities and compare those capabilities with those of urban municipalities. </w:t>
      </w:r>
      <w:r>
        <w:t xml:space="preserve"> </w:t>
      </w:r>
      <w:r>
        <w:t xml:space="preserve">The study must consider disparities in: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available funding for personnel and equipment;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number of qualified candidates to fill new or vacant firefighting and rescue personnel positions;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opportunities for affordable training for firefighting and rescue personnel;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any other factor the service considers relevant.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REPORT.  Not later than December 1, 2026, the service shall submit to the governor, the lieutenant governor, and the speaker of the house of representatives a report that includes the findings of the study and any recommendations based on the study.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EXPIRATION.  This Act expires September 1, 2027.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EFFECTIVE DATE. </w:t>
      </w:r>
      <w:r>
        <w:t xml:space="preserve"> 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2128 was passed by the House on May 6, 2025, by the following vote:</w:t>
      </w:r>
      <w:r xml:space="preserve">
        <w:t> </w:t>
      </w:r>
      <w:r xml:space="preserve">
        <w:t> </w:t>
      </w:r>
      <w:r>
        <w:t xml:space="preserve">Yeas 139, Nays 7,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2128 was passed by the Senate on May 27,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2128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