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89R3855 CS-D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Spiller,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2128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study of rural firefighting and technical rescue service capabilities.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STUDY ON RURAL FIREFIGHTING AND TECHNICAL RESCUE SERVICE CAPABILITIES.  (a) </w:t>
      </w:r>
      <w:r>
        <w:t xml:space="preserve"> </w:t>
      </w:r>
      <w:r>
        <w:t xml:space="preserve">In this Act, "service" means the Texas A&amp;M Engineering Extension Service.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service shall conduct a study of rural firefighting and technical rescue service capabilities and compare those capabilities with those of urban municipalities. </w:t>
      </w:r>
      <w:r>
        <w:t xml:space="preserve"> </w:t>
      </w:r>
      <w:r>
        <w:t xml:space="preserve">The study must consider disparities in: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available funding for personnel and equipment;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the number of qualified candidates to fill new or vacant firefighting and rescue personnel positions;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opportunities for affordable training for firefighting and rescue personnel;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any other factor the service considers relevant.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REPORT.  Not later than December 1, 2026, the service shall submit to the governor, the lieutenant governor, and the speaker of the house of representatives a report that includes the findings of the study and any recommendations based on the study.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EXPIRATION.  This Act expires September 1, 2027.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EFFECTIVE DATE. </w:t>
      </w:r>
      <w:r>
        <w:t xml:space="preserve"> </w:t>
      </w:r>
      <w:r>
        <w:t xml:space="preserve">This Act takes effect immediately if it receives a vote of two-thirds of all the members elected to each house, as provided by Section 39, Article III, Texas Constitution.</w:t>
      </w:r>
      <w:r>
        <w:t xml:space="preserve">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2128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