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89R17164 DNC-D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Johnson, Morgan, Paul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2213</w:t>
      </w:r>
    </w:p>
    <w:p w:rsidR="003F3435" w:rsidRDefault="0032493E">
      <w:pPr>
        <w:spacing w:line="480" w:lineRule="auto"/>
        <w:jc w:val="both"/>
      </w:pPr>
      <w:r>
        <w:t xml:space="preserve">Substitute the following for</w:t>
      </w:r>
      <w:r xml:space="preserve">
        <w:t> </w:t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2213: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Dean</w:t>
      </w:r>
      <w:r xml:space="preserve">
        <w:tab wTab="150" tlc="none" cTlc="0"/>
      </w:r>
      <w:r>
        <w:t xml:space="preserve">C.S.H.B.</w:t>
      </w:r>
      <w:r xml:space="preserve">
        <w:t> </w:t>
      </w:r>
      <w:r>
        <w:t xml:space="preserve">No.</w:t>
      </w:r>
      <w:r xml:space="preserve">
        <w:t> </w:t>
      </w:r>
      <w:r>
        <w:t xml:space="preserve">2213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composition of the board of directors of the Texas Windstorm Insurance Association.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2210.102(d), Insurance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(d)</w:t>
      </w:r>
      <w:r xml:space="preserve">
        <w:t> </w:t>
      </w:r>
      <w:r xml:space="preserve">
        <w:t> </w:t>
      </w:r>
      <w:r>
        <w:t xml:space="preserve">Three members must reside in an area of this state that is located </w:t>
      </w:r>
      <w:r>
        <w:rPr>
          <w:u w:val="single"/>
        </w:rPr>
        <w:t xml:space="preserve">outside a catastrophe area</w:t>
      </w:r>
      <w:r>
        <w:t xml:space="preserve"> [</w:t>
      </w:r>
      <w:r>
        <w:rPr>
          <w:strike/>
        </w:rPr>
        <w:t xml:space="preserve">more than 100 miles from the Texas coastline</w:t>
      </w:r>
      <w:r>
        <w:t xml:space="preserve">].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C.S.H.B.</w:t>
    </w:r>
    <w:r xml:space="preserve">
      <w:t> </w:t>
    </w:r>
    <w:r>
      <w:t xml:space="preserve">No.</w:t>
    </w:r>
    <w:r xml:space="preserve">
      <w:t> </w:t>
    </w:r>
    <w:r>
      <w:t xml:space="preserve">2213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