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89R10103 LRM-D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Hernandez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2224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required emergency generators or other backup power sources in certain nursing facilities, assisted living facilities, and senior independent living communities; providing civil and administrative penalties.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242, Health and Safety Code, is amended by adding Section 242.053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242.053.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EMERGENCY GENERATOR OR OTHER BACKUP POWER SOURCE REQUIRED IN NURSING FACILITIES WITH ELEVATORS.  (a) </w:t>
      </w:r>
      <w:r>
        <w:rPr>
          <w:u w:val="single"/>
        </w:rPr>
        <w:t xml:space="preserve"> </w:t>
      </w:r>
      <w:r>
        <w:rPr>
          <w:u w:val="single"/>
        </w:rPr>
        <w:t xml:space="preserve">Each nursing facility licensed under this chapter that maintains and operates an elevator shall install and maintain on the premises of each facility building that contains an elevator: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operational emergency generator or other backup power source with enough capacity to power an elevator in the building for a minimum of 48 hours during a power outage;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sufficient fuel supply to power the emergency generator or power source for the period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 shall impose an administrative penalty in an amount not to exceed $500 against a nursing facility that violates Subsection (a). </w:t>
      </w:r>
      <w:r>
        <w:rPr>
          <w:u w:val="single"/>
        </w:rPr>
        <w:t xml:space="preserve"> </w:t>
      </w:r>
      <w:r>
        <w:rPr>
          <w:u w:val="single"/>
        </w:rPr>
        <w:t xml:space="preserve">Each month a violation continues is considered a separate violation for purposes of imposing the administrative penalty under this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247, Health and Safety Code, is amended by adding Section 247.073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247.073.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EMERGENCY GENERATOR OR OTHER BACKUP POWER SOURCE REQUIRED IN ASSISTED LIVING FACILITIES WITH ELEVATORS.  (a) </w:t>
      </w:r>
      <w:r>
        <w:rPr>
          <w:u w:val="single"/>
        </w:rPr>
        <w:t xml:space="preserve"> </w:t>
      </w:r>
      <w:r>
        <w:rPr>
          <w:u w:val="single"/>
        </w:rPr>
        <w:t xml:space="preserve">Each assisted living facility licensed under this chapter that maintains and operates an elevator shall install and maintain on the premises of each facility building that contains an elevator: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operational emergency generator or backup power source with enough capacity to power an elevator in the building for a minimum of 48 hours during a power outage;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sufficient fuel supply to power the emergency generator or power source for the period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 shall impose an administrative penalty in an amount not to exceed $500 against an assisted living facility that violates Subsection (a). </w:t>
      </w:r>
      <w:r>
        <w:rPr>
          <w:u w:val="single"/>
        </w:rPr>
        <w:t xml:space="preserve"> </w:t>
      </w:r>
      <w:r>
        <w:rPr>
          <w:u w:val="single"/>
        </w:rPr>
        <w:t xml:space="preserve">Each month a violation continues is considered a separate violation for purposes of imposing the administrative penalty under this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Subtitle B, Title 9, Health and Safety Code, is amended by adding Chapter 786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786.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EMERGENCY GENERATORS FOR SENIOR INDEPENDENT LIVING COMMUNITIES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786.001.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</w:t>
      </w:r>
      <w:r>
        <w:rPr>
          <w:u w:val="single"/>
        </w:rPr>
        <w:t xml:space="preserve"> </w:t>
      </w:r>
      <w:r>
        <w:rPr>
          <w:u w:val="single"/>
        </w:rP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"Common amenity" means an amenity or service offered or provided to residents of a multiunit residential community, including: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concierge services;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library;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common dining services;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housekeeping services;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full-time security.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"Senior independent living community" means a residential community or a portion of a residential community that: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intended and operated for occupancy by at least one individual 55 years of age or older for each unit;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contains not fewer than 20 residential units in one or more multiunit buildings that are available to occupy;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provides common amenities.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786.002.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EXEMPTIONS. </w:t>
      </w:r>
      <w:r>
        <w:rPr>
          <w:u w:val="single"/>
        </w:rPr>
        <w:t xml:space="preserve"> </w:t>
      </w:r>
      <w:r>
        <w:rPr>
          <w:u w:val="single"/>
        </w:rPr>
        <w:t xml:space="preserve">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health care institution as defined by Section 74.001, Civil Practice and Remedies Code;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boarding home facility as defined by Section 260.001 that holds a permit issued under Chapter 260;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supportive housing facility for elderly individuals operated under Section 202, the National Housing Act (12 U.S.C. Section 1701q);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center for independent living as defined by Section 702 of the federal Rehabilitation Act of 1973 (29 U.S.C. Section 796a);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other facility that is regulated by the Health and Human Services Commission or in accordance with rules adopted by the Centers for Medicare and Medicaid Services.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786.003.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EMERGENCY GENERATOR OR OTHER BACKUP POWER SOURCE REQUIRED IN SENIOR INDEPENDENT LIVING COMMUNITIES WITH ELEVATORS.  (a) </w:t>
      </w:r>
      <w:r>
        <w:rPr>
          <w:u w:val="single"/>
        </w:rPr>
        <w:t xml:space="preserve"> </w:t>
      </w:r>
      <w:r>
        <w:rPr>
          <w:u w:val="single"/>
        </w:rPr>
        <w:t xml:space="preserve">Each senior independent living community that maintains and operates an elevator shall install and maintain on the premises of each building in the community that contains an elevator: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operational emergency generator or backup power source with enough capacity to power an elevator in the building for a minimum of 48 hours during a power outage;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sufficient fuel supply to power the emergency generator or power source for the period described by Subdivision (1).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senior independent living community that violates Subsection (a) is liable for a civil penalty of not more than $1,000 for each violation. Each month a violation continues is considered a separate violation for purposes of assessing the civil penalty.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attorney general may bring suit to recover the civil penalty authorized by Subsection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(a)</w:t>
      </w:r>
      <w:r xml:space="preserve">
        <w:t> </w:t>
      </w:r>
      <w:r xml:space="preserve">
        <w:t> </w:t>
      </w:r>
      <w:r>
        <w:t xml:space="preserve">A nursing facility is not required to comply with Section 242.053, Health and Safety Code, as added by this Act, before March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assisted living facility is not required to comply with Section 247.073, Health and Safety Code, as added by this Act, before March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senior independent living community is not required to comply with Chapter 786, Health and Safety Code, as added by this Act, before March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2224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