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w:t xml:space="preserve"> (Senate Sponsor</w:t>
      </w:r>
      <w:r xml:space="preserve">
        <w:t> </w:t>
      </w:r>
      <w:r>
        <w:t xml:space="preserve">-</w:t>
      </w:r>
      <w:r xml:space="preserve">
        <w:t> </w:t>
      </w:r>
      <w:r>
        <w:t xml:space="preserve">Hagenbuch)</w:t>
      </w:r>
      <w:r xml:space="preserve">
        <w:tab wTab="150" tlc="none" cTlc="0"/>
      </w:r>
      <w:r>
        <w:t xml:space="preserve">H.B.</w:t>
      </w:r>
      <w:r xml:space="preserve">
        <w:t> </w:t>
      </w:r>
      <w:r>
        <w:t xml:space="preserve">No.</w:t>
      </w:r>
      <w:r xml:space="preserve">
        <w:t> </w:t>
      </w:r>
      <w:r>
        <w:t xml:space="preserve">2407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15,</w:t>
      </w:r>
      <w:r xml:space="preserve">
        <w:t> </w:t>
      </w:r>
      <w:r>
        <w:t xml:space="preserve">2025, read first time and referred to Committee on Criminal Justice; May</w:t>
      </w:r>
      <w:r xml:space="preserve">
        <w:t> </w:t>
      </w:r>
      <w:r>
        <w:t xml:space="preserve">26,</w:t>
      </w:r>
      <w:r xml:space="preserve">
        <w:t> </w:t>
      </w:r>
      <w:r>
        <w:t xml:space="preserve">2025, reported favorably by the following vote:</w:t>
      </w:r>
      <w:r>
        <w:t xml:space="preserve"> </w:t>
      </w:r>
      <w:r>
        <w:t xml:space="preserve"> </w:t>
      </w:r>
      <w:r>
        <w:t xml:space="preserve">Yeas 6,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increasing the criminal penalty for the failure of certain sex offenders to comply with sex offender registration requirements.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Articles 62.102(c) and (d), Code of Criminal Procedure, are amended to read as follows:</w:t>
      </w:r>
    </w:p>
    <w:p w:rsidR="003F3435" w:rsidRDefault="0032493E">
      <w:pPr>
        <w:spacing w:line="480" w:lineRule="auto"/>
        <w:ind w:firstLine="720"/>
        <w:jc w:val="both"/>
      </w:pPr>
      <w:r>
        <w:t xml:space="preserve">(c)</w:t>
      </w:r>
      <w:r xml:space="preserve">
        <w:t> </w:t>
      </w:r>
      <w:r xml:space="preserve">
        <w:t> </w:t>
      </w:r>
      <w:r>
        <w:t xml:space="preserve">If it is shown at the trial of a person for an offense or an attempt to commit an offense under this article that the person has previously been convicted of an offense or an attempt to commit an offense under this article, the [</w:t>
      </w:r>
      <w:r>
        <w:rPr>
          <w:strike/>
        </w:rPr>
        <w:t xml:space="preserve">punishment for the</w:t>
      </w:r>
      <w:r>
        <w:t xml:space="preserve">] offense or the attempt to commit the offense is increased to the [</w:t>
      </w:r>
      <w:r>
        <w:rPr>
          <w:strike/>
        </w:rPr>
        <w:t xml:space="preserve">punishment for the</w:t>
      </w:r>
      <w:r>
        <w:t xml:space="preserv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(d)</w:t>
      </w:r>
      <w:r xml:space="preserve">
        <w:t> </w:t>
      </w:r>
      <w:r xml:space="preserve">
        <w:t> </w:t>
      </w:r>
      <w:r>
        <w:t xml:space="preserve">If it is shown at the trial of a person for an offense under this article or an attempt to commit an offense under this article that the person fraudulently used identifying information in violation of Section 32.51, Penal Code, during the commission or attempted commission of the offense, the [</w:t>
      </w:r>
      <w:r>
        <w:rPr>
          <w:strike/>
        </w:rPr>
        <w:t xml:space="preserve">punishment for the</w:t>
      </w:r>
      <w:r>
        <w:t xml:space="preserve">] offense or the attempt to commit the offense is increased to [</w:t>
      </w:r>
      <w:r>
        <w:rPr>
          <w:strike/>
        </w:rPr>
        <w:t xml:space="preserve">the punishment for</w:t>
      </w:r>
      <w:r>
        <w:t xml:space="preserve">] the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