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89R4654 CS-D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Hefner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municipality to regulate a home-based business.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229, Local Government Code, is amended by adding Section 229.902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229.902.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REGULATE HOME-BASED BUSINESSES.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"Business" has the meaning assigned by Section 1.002, Business Organizations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"Home-based business" means a business that is operated: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from a residential property;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 the owner or tenant of the property;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purpose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manufacturing, providing, or selling a lawful good;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a lawful service.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"No-impact home-based business" means a home-based business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at any time on the property where the business is operated a total number of employees and clients or patrons of the business that does not exceed the municipal occupancy limit for the property;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generate on-street parking or a substantial increase in traffic through the area;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operates in a manner in which none of its activities are visible from a street.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of a municipality may not adopt or enforce an ordinance, regulation, or other measure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prohibits the operation of a no-impact home-based business;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a person that operates a no-impact home-based business or that owns the property where the business is operated to obtain a license, permit, or other approval to operate the business;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a person that operates a home-based business or that owns the property where the business is operated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rezone the property for a non-residential use;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install a fire sprinkler protection system if the residence where the business is operated consists only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single-family detached residential structure;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multi-family residential structure with not more than two residential units.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Subsection (b), the governing body of a municipality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that a home-based business be: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compliance with federal, state, and local law, including: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 fire and building code;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 regulation related to: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 and sanitation;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transportation or traffic control;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solid or hazardous waste; or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pollution and noise control;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compatible with the residential use of the property where the business is located;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secondary to the use of the property as a residential dwelling;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 or prohibit the operation of a home-based business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sells alcohol or illegal drugs;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structured sober living home;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sexually oriented business as defined by Section 243.002.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a person from enforcing a rule or deed restriction imposed by a homeowners' association or by other private agreement.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