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Morales of Harris, et al.</w:t>
      </w:r>
      <w:r xml:space="preserve">
        <w:tab wTab="150" tlc="none" cTlc="0"/>
      </w:r>
      <w:r>
        <w:t xml:space="preserve">H.B.</w:t>
      </w:r>
      <w:r xml:space="preserve">
        <w:t> </w:t>
      </w:r>
      <w:r>
        <w:t xml:space="preserve">No.</w:t>
      </w:r>
      <w:r xml:space="preserve">
        <w:t> </w:t>
      </w:r>
      <w:r>
        <w:t xml:space="preserve">2492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arrested for certain crimes involving family violence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The head of the agency arresting or holding such a person </w:t>
      </w:r>
      <w:r>
        <w:rPr>
          <w:u w:val="single"/>
        </w:rPr>
        <w:t xml:space="preserve">shall</w:t>
      </w:r>
      <w:r>
        <w:t xml:space="preserve"> [</w:t>
      </w:r>
      <w:r>
        <w:rPr>
          <w:strike/>
        </w:rPr>
        <w:t xml:space="preserve">may</w:t>
      </w:r>
      <w:r>
        <w:t xml:space="preserve">] hold the person for a period of [</w:t>
      </w:r>
      <w:r>
        <w:rPr>
          <w:strike/>
        </w:rPr>
        <w:t xml:space="preserve">not more than</w:t>
      </w:r>
      <w:r>
        <w:t xml:space="preserve">]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or</w:t>
      </w:r>
    </w:p>
    <w:p w:rsidR="003F3435" w:rsidRDefault="0032493E">
      <w:pPr>
        <w:spacing w:line="480" w:lineRule="auto"/>
        <w:ind w:firstLine="2160"/>
        <w:jc w:val="both"/>
      </w:pPr>
      <w:r>
        <w:t xml:space="preserve">(B)</w:t>
      </w:r>
      <w:r xml:space="preserve">
        <w:t> </w:t>
      </w:r>
      <w:r xml:space="preserve">
        <w:t> </w:t>
      </w:r>
      <w:r>
        <w:t xml:space="preserve">for any other offense, if a deadly weapon, as defined by Section 1.07, Penal Code, was used or exhibited during commission of the offense or during immediate flight after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17.291(b), Code of Criminal Procedure, as amended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