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89R8685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Button, Cook, Cortez,</w:t>
      </w:r>
      <w:r xml:space="preserve">
        <w:tab wTab="150" tlc="none" cTlc="0"/>
      </w:r>
      <w:r>
        <w:t xml:space="preserve">H.B.</w:t>
      </w:r>
      <w:r xml:space="preserve">
        <w:t> </w:t>
      </w:r>
      <w:r>
        <w:t xml:space="preserve">No.</w:t>
      </w:r>
      <w:r xml:space="preserve">
        <w:t> </w:t>
      </w:r>
      <w:r>
        <w:t xml:space="preserve">2508</w:t>
      </w:r>
    </w:p>
    <w:p w:rsidR="003F3435" w:rsidRDefault="0032493E">
      <w:pPr>
        <w:jc w:val="both"/>
      </w:pPr>
      <w:r xml:space="preserve">
        <w:t> </w:t>
      </w:r>
      <w:r xml:space="preserve">
        <w:t> </w:t>
      </w:r>
      <w:r xml:space="preserve">
        <w:t> </w:t>
      </w:r>
      <w:r xml:space="preserve">
        <w:t> </w:t>
      </w:r>
      <w:r xml:space="preserve">
        <w:t> </w:t>
      </w:r>
      <w:r>
        <w:t xml:space="preserve">Garcia of Dallas,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residence homestead of the surviving spouse of a veteran who died as a result of a qualifying condition or disease.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RESIDENCE HOMESTEADS OF SURVIVING SPOUSES OF CERTAIN QUALIFYING VETERANS.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condition or disease"</w:t>
      </w:r>
      <w:r>
        <w:rPr>
          <w:u w:val="single"/>
        </w:rPr>
        <w:t xml:space="preserve"> </w:t>
      </w:r>
      <w:r>
        <w:rPr>
          <w:u w:val="single"/>
        </w:rPr>
        <w:t xml:space="preserve">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"Qualifying veteran"</w:t>
      </w:r>
      <w:r>
        <w:rPr>
          <w:u w:val="single"/>
        </w:rPr>
        <w:t xml:space="preserve"> </w:t>
      </w:r>
      <w:r>
        <w:rPr>
          <w:u w:val="single"/>
        </w:rPr>
        <w:t xml:space="preserve">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"Residence homestead" has the meaning assigned by Section 11.13.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"Surviving spouse" means the individual who was married to a qualifying veteran at the time of the veteran's death.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u w:val="single"/>
        </w:rPr>
        <w:t xml:space="preserve"> </w:t>
      </w:r>
      <w:r>
        <w:rPr>
          <w:u w:val="single"/>
        </w:rP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 or (d), 11.132, 11.133, [</w:t>
      </w:r>
      <w:r>
        <w:rPr>
          <w:strike/>
        </w:rPr>
        <w:t xml:space="preserve">or</w:t>
      </w:r>
      <w:r>
        <w:t xml:space="preserve">] 11.134</w:t>
      </w:r>
      <w:r>
        <w:rPr>
          <w:u w:val="single"/>
        </w:rPr>
        <w:t xml:space="preserve">, or 11.136</w:t>
      </w:r>
      <w:r>
        <w:t xml:space="preserve"> </w:t>
      </w:r>
      <w:r>
        <w:t xml:space="preserve">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w:t>
      </w:r>
      <w:r>
        <w:rPr>
          <w:u w:val="single"/>
        </w:rPr>
        <w:t xml:space="preserve">11.136,</w:t>
      </w:r>
      <w:r>
        <w:t xml:space="preserve"> 11.17, 11.18, 11.182, 11.1827, 11.183, 11.19, 11.20, 11.21, 11.22, 11.23(a), (h), (j), (j-1), or (m), 11.231, 11.254, 11.27, 11.271, 11.29, 11.30, 11.31, 11.315, 11.35, or 11.36,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 or (d), 11.132, 11.133, [</w:t>
      </w:r>
      <w:r>
        <w:rPr>
          <w:strike/>
        </w:rPr>
        <w:t xml:space="preserve">or</w:t>
      </w:r>
      <w:r>
        <w:t xml:space="preserve">] 11.134</w:t>
      </w:r>
      <w:r>
        <w:rPr>
          <w:u w:val="single"/>
        </w:rPr>
        <w:t xml:space="preserve">, or 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w:t>
      </w:r>
      <w:r xml:space="preserve">
        <w:t> </w:t>
      </w:r>
      <w:r xml:space="preserve">
        <w:t> </w:t>
      </w:r>
      <w:r>
        <w:t xml:space="preserve">(a)</w:t>
      </w:r>
      <w:r xml:space="preserve">
        <w:t> </w:t>
      </w:r>
      <w:r xml:space="preserve">
        <w:t> </w:t>
      </w:r>
      <w:r>
        <w:t xml:space="preserve">Except as provided by Section 26.10(b), if at any time during a tax year property is owned by an individual who qualifies for an exemption under Section 11.13(c) or (d), 11.133, [</w:t>
      </w:r>
      <w:r>
        <w:rPr>
          <w:strike/>
        </w:rPr>
        <w:t xml:space="preserve">or</w:t>
      </w:r>
      <w:r>
        <w:t xml:space="preserve">] 11.134, </w:t>
      </w:r>
      <w:r>
        <w:rPr>
          <w:u w:val="single"/>
        </w:rPr>
        <w:t xml:space="preserve">or 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 or (d), 11.133, [</w:t>
      </w:r>
      <w:r>
        <w:rPr>
          <w:strike/>
        </w:rPr>
        <w:t xml:space="preserve">or</w:t>
      </w:r>
      <w:r>
        <w:t xml:space="preserve">] 11.134</w:t>
      </w:r>
      <w:r>
        <w:rPr>
          <w:u w:val="single"/>
        </w:rPr>
        <w:t xml:space="preserve">, or 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w:t>
      </w:r>
      <w:r>
        <w:t xml:space="preserve"> </w:t>
      </w:r>
      <w:r>
        <w:t xml:space="preserve">If the tax bill has been mailed and the tax on the property has not been paid, the assessor shall mail a corrected tax bill to the person in whose name the property is listed on the tax roll or to the person's authorized agent. </w:t>
      </w:r>
      <w:r>
        <w:t xml:space="preserve">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11.131, 11.133, [</w:t>
      </w:r>
      <w:r>
        <w:rPr>
          <w:strike/>
        </w:rPr>
        <w:t xml:space="preserve">or</w:t>
      </w:r>
      <w:r>
        <w:t xml:space="preserve">] 11.134, </w:t>
      </w:r>
      <w:r>
        <w:rPr>
          <w:u w:val="single"/>
        </w:rPr>
        <w:t xml:space="preserve">or 11.136,</w:t>
      </w:r>
      <w:r>
        <w:t xml:space="preserve">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11.136, Tax Code, as added by 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89th Legislature, Regular Session, 2025, that the amendments made by this Act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 but only if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