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  <w:t>89R9515 LRM-D</w:t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Tepper</w:t>
      </w:r>
      <w:r xml:space="preserve">
        <w:tab wTab="150" tlc="none" cTlc="0"/>
      </w:r>
      <w:r>
        <w:t xml:space="preserve">H.B.</w:t>
      </w:r>
      <w:r xml:space="preserve">
        <w:t> </w:t>
      </w:r>
      <w:r>
        <w:t xml:space="preserve">No.</w:t>
      </w:r>
      <w:r xml:space="preserve">
        <w:t> </w:t>
      </w:r>
      <w:r>
        <w:t xml:space="preserve">2513</w:t>
      </w:r>
    </w:p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2493E">
      <w:pPr>
        <w:spacing w:line="480" w:lineRule="auto"/>
        <w:jc w:val="both"/>
      </w:pPr>
      <w:r>
        <w:t xml:space="preserve">relating to a paid leave of absence for public employees serving as fire protection personnel who are engaged in certain military service.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Section 437.202, Government Code, is amended by adding Subsection (a-2) to read as follows: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(a-2)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For purposes of calculating the payment amount for a paid leave of absence from duties in a fiscal year for a person described by Subsection (a) who is classified as fire protection personnel, as defined by Section 419.021, a 24-hour work shift constitutes one work day.</w:t>
      </w:r>
      <w:r>
        <w:t xml:space="preserve"> 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September 1, 2025.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H.B.</w:t>
    </w:r>
    <w:r xml:space="preserve">
      <w:t> </w:t>
    </w:r>
    <w:r>
      <w:t xml:space="preserve">No.</w:t>
    </w:r>
    <w:r xml:space="preserve">
      <w:t> </w:t>
    </w:r>
    <w:r>
      <w:t xml:space="preserve">2513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