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551.001(3),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body"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committee, or agency within the executive or legislative branch of state government that is directed by one or more elected or appointed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commissioners court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 governing body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deliberative body that has rulemaking or quasi-judicial power and that is classified as a department, agency, or political subdivision of a county or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board of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board of school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board of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governing board of a special district created by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local workforce development board created under Section 2308.253;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nonprofit corporation that is eligible to receive funds under the federal community services block grant program and that is authorized by this state to serve a geographic area of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nonprofit corporation organized under Chapter 67, Water Code, that provides a water supply or wastewater service, or both, and is exempt from ad valorem taxation under Section 11.30, Tax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joint board created under Section 22.074, Transportation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 board of directors of a reinvestment zone created under Chapter 311, Tax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 of managers appointed under Chapter 39A,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551.041.</w:t>
      </w:r>
      <w:r xml:space="preserve">
        <w:t> </w:t>
      </w:r>
      <w:r xml:space="preserve">
        <w:t> </w:t>
      </w:r>
      <w:r>
        <w:t xml:space="preserve">NOTICE OF MEETING REQUIRED.</w:t>
      </w:r>
      <w:r xml:space="preserve">
        <w:t> </w:t>
      </w:r>
      <w:r xml:space="preserve">
        <w:t> </w:t>
      </w:r>
      <w:r>
        <w:rPr>
          <w:u w:val="single"/>
        </w:rPr>
        <w:t xml:space="preserve">(a)</w:t>
      </w:r>
      <w:r>
        <w:t xml:space="preserve"> A governmental body shall give written notice of the date, hour, place, and subject of each meeting held by the governmental body.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 include an agenda for the meeting that is the subject of the notice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sufficiently specific to inform the public of each subject to be considered in the open portion of the meeting, including any matter: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special or unusual;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public may have a particular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any subject to be considered in the closed portion of the meeting,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551.074,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551.074.</w:t>
      </w:r>
      <w:r xml:space="preserve">
        <w:t> </w:t>
      </w:r>
      <w:r xml:space="preserve">
        <w:t> </w:t>
      </w:r>
      <w:r>
        <w:t xml:space="preserve">PERSONNEL MATTERS; CLOSED MEETING.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This chapter does not require a governmental body to conduct an open meeting: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deliberate the appointment, employment, evaluation, reassignment, duties, discipline, or dismissal of a </w:t>
      </w:r>
      <w:r>
        <w:rPr>
          <w:u w:val="single"/>
        </w:rPr>
        <w:t xml:space="preserve">specific</w:t>
      </w:r>
      <w:r>
        <w:t xml:space="preserve"> public officer or employee;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hear a complaint or charge against an officer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officer or employee who is the subject of the deliberation or hearing requests a public hearing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body's deliberations under Subsection (a)(1) concern operational issues that generally impact a class or group of employees, including changes in the duties or compensation of a class or group of employees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551.083,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meeting of a governmental body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2520 was passed by the House on May 1, 2025, by the following vote:</w:t>
      </w:r>
      <w:r xml:space="preserve">
        <w:t> </w:t>
      </w:r>
      <w:r xml:space="preserve">
        <w:t> </w:t>
      </w:r>
      <w:r>
        <w:t xml:space="preserve">Yeas 137,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2520 was passed by the Senate on May 28,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