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89R3869 JAM-D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2552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prohibition of tolls on a highway that was subject to a comprehensive development agreement terminated by a toll project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371.101, Transportation Code, is amended by adding Subsection (i)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Following the termination by a toll project entity of a comprehensive development agreement described by Subsection (a), the toll project entity may not charge a toll for the use of any part of the project that was subject to the agreement.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2552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