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89R13818 EAS-D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Lujan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2673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repeal of certain provisions authorizing cemeteries in certain municipalities and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711.008(a),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Subsections (b), (f), (g), (g-1), (g-2), [</w:t>
      </w:r>
      <w:r>
        <w:rPr>
          <w:strike/>
        </w:rPr>
        <w:t xml:space="preserve">(g-3), (g-4),</w:t>
      </w:r>
      <w:r>
        <w:t xml:space="preserve">] (h), (k), and (m), an individual, corporation, partnership, firm, trust, or association may not establish or operate a cemetery, or use any land for the interment of remains, located: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or within one mile of the boundaries of a municipality with a population of 5,000 to 25,000;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or within two miles of the boundaries of a municipality with a population of 25,000 to 50,000;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 or within three miles of the boundaries of a municipality with a population of 50,000 to 100,000;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 or within four miles of the boundaries of a municipality with a population of 100,000 to 200,000;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in or within five miles of the boundaries of a municipality with a population of at least 200,000.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Sections 711.008(g-3) and (g-4), Health and Safety Code, are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