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89R8797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w:t>
      </w:r>
      <w:r xml:space="preserve">
        <w:tab wTab="150" tlc="none" cTlc="0"/>
      </w:r>
      <w:r>
        <w:t xml:space="preserve">H.B.</w:t>
      </w:r>
      <w:r xml:space="preserve">
        <w:t> </w:t>
      </w:r>
      <w:r>
        <w:t xml:space="preserve">No.</w:t>
      </w:r>
      <w:r xml:space="preserve">
        <w:t> </w:t>
      </w:r>
      <w:r>
        <w:t xml:space="preserve">2704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regarding biological sex and the designation and use of certain spaces according to biological sex; authorizing a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Definition and Protection of a Woman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purposes of this Act are to:</w:t>
      </w:r>
    </w:p>
    <w:p w:rsidR="003F3435" w:rsidRDefault="0032493E">
      <w:pPr>
        <w:spacing w:line="480" w:lineRule="auto"/>
        <w:ind w:firstLine="1440"/>
        <w:jc w:val="both"/>
      </w:pPr>
      <w:r>
        <w:t xml:space="preserve">(1)</w:t>
      </w:r>
      <w:r xml:space="preserve">
        <w:t> </w:t>
      </w:r>
      <w:r xml:space="preserve">
        <w:t> </w:t>
      </w:r>
      <w:r>
        <w:t xml:space="preserve">clarify and reconcile the meanings in state statutory law of sex, male, female, and related terms; and</w:t>
      </w:r>
    </w:p>
    <w:p w:rsidR="003F3435" w:rsidRDefault="0032493E">
      <w:pPr>
        <w:spacing w:line="480" w:lineRule="auto"/>
        <w:ind w:firstLine="1440"/>
        <w:jc w:val="both"/>
      </w:pPr>
      <w:r>
        <w:t xml:space="preserve">(2)</w:t>
      </w:r>
      <w:r xml:space="preserve">
        <w:t> </w:t>
      </w:r>
      <w:r xml:space="preserve">
        <w:t> </w:t>
      </w:r>
      <w:r>
        <w:t xml:space="preserve">provide protections for women and girls against sexual assault, harassment, violence, and acts of abuse committed by men in restrooms, changing rooms, and sleeping quarters designated for women.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 </w:t>
      </w:r>
      <w:r>
        <w:rPr>
          <w:i/>
        </w:rPr>
        <w:t xml:space="preserve">United States v. Virginia,</w:t>
      </w:r>
      <w:r>
        <w:t xml:space="preserve"> 518 U.S. 515 (1996), citing </w:t>
      </w:r>
      <w:r>
        <w:rPr>
          <w:i/>
        </w:rPr>
        <w:t xml:space="preserve">Ballard v. United States,</w:t>
      </w:r>
      <w:r>
        <w:t xml:space="preserve"> 329 U.S. 187, 193 (1946), the court recognized:</w:t>
      </w:r>
    </w:p>
    <w:p w:rsidR="003F3435" w:rsidRDefault="0032493E">
      <w:pPr>
        <w:spacing w:line="480" w:lineRule="auto"/>
        <w:ind w:firstLine="2160"/>
        <w:jc w:val="both"/>
      </w:pPr>
      <w:r>
        <w:t xml:space="preserve">(A)</w:t>
      </w:r>
      <w:r xml:space="preserve">
        <w:t> </w:t>
      </w:r>
      <w:r xml:space="preserve">
        <w:t> </w:t>
      </w:r>
      <w:r>
        <w:t xml:space="preserve">"[p]hysical differences between men and women, however, are enduring: '[T]he two sexes are not fungible; a community made up exclusively of one [sex] is different from a community composed of both'"; and</w:t>
      </w:r>
    </w:p>
    <w:p w:rsidR="003F3435" w:rsidRDefault="0032493E">
      <w:pPr>
        <w:spacing w:line="480" w:lineRule="auto"/>
        <w:ind w:firstLine="2160"/>
        <w:jc w:val="both"/>
      </w:pPr>
      <w:r>
        <w:t xml:space="preserve">(B)</w:t>
      </w:r>
      <w:r xml:space="preserve">
        <w:t> </w:t>
      </w:r>
      <w:r xml:space="preserve">
        <w:t> </w:t>
      </w:r>
      <w:r>
        <w:t xml:space="preserve">"'[i]nherent differences' between men and women .</w:t>
      </w:r>
      <w:r xml:space="preserve">
        <w:t> </w:t>
      </w:r>
      <w:r>
        <w:t xml:space="preserve">.</w:t>
      </w:r>
      <w:r xml:space="preserve">
        <w:t> </w:t>
      </w:r>
      <w:r>
        <w:t xml:space="preserve">. remain cause for celebration, but not for denigration of the members of either sex or for artificial constraints on an individual's opportunity";</w:t>
      </w:r>
    </w:p>
    <w:p w:rsidR="003F3435" w:rsidRDefault="0032493E">
      <w:pPr>
        <w:spacing w:line="480" w:lineRule="auto"/>
        <w:ind w:firstLine="1440"/>
        <w:jc w:val="both"/>
      </w:pPr>
      <w:r>
        <w:t xml:space="preserve">(2)</w:t>
      </w:r>
      <w:r xml:space="preserve">
        <w:t> </w:t>
      </w:r>
      <w:r xml:space="preserve">
        <w:t> </w:t>
      </w:r>
      <w:r>
        <w:t xml:space="preserve">the Equal Protection Clause of the Fourteenth Amendment to the United States Constitution allows the legislature to enact facially neutral laws of general applicability;</w:t>
      </w:r>
    </w:p>
    <w:p w:rsidR="003F3435" w:rsidRDefault="0032493E">
      <w:pPr>
        <w:spacing w:line="480" w:lineRule="auto"/>
        <w:ind w:firstLine="1440"/>
        <w:jc w:val="both"/>
      </w:pPr>
      <w:r>
        <w:t xml:space="preserve">(3)</w:t>
      </w:r>
      <w:r xml:space="preserve">
        <w:t> </w:t>
      </w:r>
      <w:r xml:space="preserve">
        <w:t> </w:t>
      </w:r>
      <w:r>
        <w:t xml:space="preserve">biologically based definitions of sex have been consistently applied since our nation's founding;</w:t>
      </w:r>
    </w:p>
    <w:p w:rsidR="003F3435" w:rsidRDefault="0032493E">
      <w:pPr>
        <w:spacing w:line="480" w:lineRule="auto"/>
        <w:ind w:firstLine="1440"/>
        <w:jc w:val="both"/>
      </w:pPr>
      <w:r>
        <w:t xml:space="preserve">(4)</w:t>
      </w:r>
      <w:r xml:space="preserve">
        <w:t> </w:t>
      </w:r>
      <w:r xml:space="preserve">
        <w:t> </w:t>
      </w:r>
      <w:r>
        <w:t xml:space="preserve">decades of United States Supreme Court opinions have upheld the argument that biological distinctions between male and female are a matter of scientific fact, and biological sex is an objectively defined category that has obvious, immutable, and distinguishable characteristics; and</w:t>
      </w:r>
    </w:p>
    <w:p w:rsidR="003F3435" w:rsidRDefault="0032493E">
      <w:pPr>
        <w:spacing w:line="480" w:lineRule="auto"/>
        <w:ind w:firstLine="1440"/>
        <w:jc w:val="both"/>
      </w:pPr>
      <w:r>
        <w:t xml:space="preserve">(5)</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an important government interest.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 has, or would have but for a developmental or genetic anomaly or accident, a reproductive system designed to produce, transport, and provide eggs for fertilization.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 has, or would have but for a developmental or genetic anomaly or accident, a reproductive system designed to produce, transport, and provide sperm for fertilization.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 as observed or clinically verified at birth.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GOVERNMENT ACTION REGARDING CERTAIN PRIVATE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"Changing room" means a room or area in which an individual may be in a state of undress in the presence of another individual.  The term includes a locker room or shower room.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 a facility designated by law for the confinement of an individual arrested for, charged with, or convicted of a criminal offense.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the Texas Department of Criminal Justice;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under contract with any division of the Texas Department of Criminal Justice.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facility" means a correctional facility, family violence center, homeless shelter, juvenile detention center, and public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violence center"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"Homeless shelter"</w:t>
      </w:r>
      <w:r>
        <w:rPr>
          <w:u w:val="single"/>
        </w:rPr>
        <w:t xml:space="preserve"> </w:t>
      </w:r>
      <w:r>
        <w:rPr>
          <w:u w:val="single"/>
        </w:rPr>
        <w:t xml:space="preserve">means a supervised publicly operated shelter or other facility that is designed to provide temporary living accommodations to homeless individuals.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"Juvenile detention center" means a nonsecure correctional facility, secure correctional facility, or secure detention facility, as those terms are defined by Section 51.02,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"Multi-occupancy private space" means a changing room, a restroom, or sleeping quarters designed or designated for the simultaneous use of more than one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"Political subdivision"</w:t>
      </w:r>
      <w:r>
        <w:rPr>
          <w:u w:val="single"/>
        </w:rPr>
        <w:t xml:space="preserve"> </w:t>
      </w:r>
      <w:r>
        <w:rPr>
          <w:u w:val="single"/>
        </w:rPr>
        <w:t xml:space="preserve">means a governmental entity of this state, including a county, municipality, special purpose district or authority, and junior college district.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"Public school" has the meaning assigned Section 61.9811,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"Restroom" means a room designed for use of a toilet or urinal by one or more individuals.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"Single-occupancy private space" means a changing room, a restroom, or sleeping quarters designed or designated for use by only one individual.</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"Sleeping quarters" means a room that contains a bed and is designed as a space for more than one individual to regularly sleep overnight.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w:t>
      </w:r>
      <w:r>
        <w:rPr>
          <w:u w:val="single"/>
        </w:rPr>
        <w:t xml:space="preserve"> </w:t>
      </w:r>
      <w:r>
        <w:rPr>
          <w:u w:val="single"/>
        </w:rPr>
        <w:t xml:space="preserve">means a department, commission, board, office, council, authority, or other agency in the executive, legislative, or judicial branch of state government that is created by the constitution or a statute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REQUIRED DESIGNATION OF MULTI-OCCUPANCY PRIVATE SPACES.  (a)  The owner or operator of a covered facility shall designate each multi-occupancy private space in the facility for the exclusive use of either females or males.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multi-occupancy private space designated under Subsection (a) for the exclusive use of either females or males may only be used by an individual of the designated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owner or operator of a covered facility shall take reasonable steps to ensure an individual using a multi-occupancy private space designated under Subsection (a) for the exclusive use of either females or males is not observed or disturbed by an individual of the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REQUIREMENTS APPLICABLE TO CERTAIN SPACES IN PUBLIC SCHOOLS.  (a)  A public school may not require a student to share sleeping quarters with an individual who is of the sex opposite to the student's sex during any school-related event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a member of the student's family, including a parent, guardian, sibling, or grandparent;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obtained approval from the student's parent or guardian for the student to share the sleeping quarters with the family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school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private, separate changing room or space is designated for use by individuals of the same sex in each room or space in which an individual may be in a state of undress in the presence of another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individuals of the designated sex enter the room or space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CONSTRUCTION OF CHAPTER.  Sections 3001.002 and 3001.003 do not prohibit the owner or operator of a covered facility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restroom, a changing room, or sleeping quarters;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or a family restroom, changing room, or sleeping quarters;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under Section 3001.002 of a multi-occupancy private space previously designated for the exclusive use of individuals of the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EXCEPTIONS.  A designation or requirement under Section 3001.002 or 3001.003 does not apply to an individual who enters a multi-occupancy private space or space described by Section 3001.002(a):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custodial or maintenance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render medical assistance;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law enforcement purposes;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provide services or render assistance during a natural disaster or declared emergency or as necessary to prevent a serious threat to proper order or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PROHIBITED REGULATIONS.  A state agency or political subdivision may not adopt or enforce a rule, policy, resolution, ordinance,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any person, including the owner or operator of a covered facility, from designating a private space for the exclusive use of males or females in a location in which biology, safety, or privacy are implicated, including a location designated for use by athletes;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language to circumvent the requirements of this chapter or otherwise achieve the same or a substantially similar effect as prohibiting conduct required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3001.007.</w:t>
      </w:r>
      <w:r>
        <w:rPr>
          <w:u w:val="single"/>
        </w:rPr>
        <w:t xml:space="preserve"> </w:t>
      </w:r>
      <w:r>
        <w:rPr>
          <w:u w:val="single"/>
        </w:rPr>
        <w:t xml:space="preserve"> </w:t>
      </w:r>
      <w:r>
        <w:rPr>
          <w:u w:val="single"/>
        </w:rPr>
        <w:t xml:space="preserve">PRIVATE CAUSE OF ACTION.  A person affected by a covered facility's alleged violation of this chapter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writ of mandamus;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3001.008.</w:t>
      </w:r>
      <w:r>
        <w:rPr>
          <w:u w:val="single"/>
        </w:rPr>
        <w:t xml:space="preserve"> </w:t>
      </w:r>
      <w:r>
        <w:rPr>
          <w:u w:val="single"/>
        </w:rPr>
        <w:t xml:space="preserve"> </w:t>
      </w:r>
      <w:r>
        <w:rPr>
          <w:u w:val="single"/>
        </w:rPr>
        <w:t xml:space="preserve">CONTRACTOR CAUSE OF ACTION.  Any person who contracts with this state or a political subdivision of this state to provide services for a covered facility may bring an action for appropriate relief under Section 3001.007 against the applicable state agency or political subdivision for directing the person to perform an act in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3001.009.</w:t>
      </w:r>
      <w:r>
        <w:rPr>
          <w:u w:val="single"/>
        </w:rPr>
        <w:t xml:space="preserve"> </w:t>
      </w:r>
      <w:r>
        <w:rPr>
          <w:u w:val="single"/>
        </w:rPr>
        <w:t xml:space="preserve"> </w:t>
      </w:r>
      <w:r>
        <w:rPr>
          <w:u w:val="single"/>
        </w:rPr>
        <w:t xml:space="preserve">RETALIATION PROHIBITED.  (a) </w:t>
      </w:r>
      <w:r>
        <w:rPr>
          <w:u w:val="single"/>
        </w:rPr>
        <w:t xml:space="preserve"> </w:t>
      </w:r>
      <w:r>
        <w:rPr>
          <w:u w:val="single"/>
        </w:rPr>
        <w:t xml:space="preserve">A covered facility may not take retaliatory or other adverse action against a person for acting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the subject of an adverse action prohibited by Subsection (a) may bring an action against the covered facility for appropriate relief under Section 3001.007.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3001.010.</w:t>
      </w:r>
      <w:r>
        <w:rPr>
          <w:u w:val="single"/>
        </w:rPr>
        <w:t xml:space="preserve"> </w:t>
      </w:r>
      <w:r>
        <w:rPr>
          <w:u w:val="single"/>
        </w:rPr>
        <w:t xml:space="preserve"> </w:t>
      </w:r>
      <w:r>
        <w:rPr>
          <w:u w:val="single"/>
        </w:rPr>
        <w:t xml:space="preserve">REBUTTABLE PRESUMPTION FOR ALLEGED VIOLATION.  In an action brought against a covered facility by a person for a violation of this chapter in requiring the person to share sleeping quarters with an individual who is of the sex opposite to the person and except as allowed under Section 3001.003, it is a rebuttable presumption that the covered facility's requirement of the person to share the sleeping quarters is discriminatory and caused actual harm to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3001.011.</w:t>
      </w:r>
      <w:r>
        <w:rPr>
          <w:u w:val="single"/>
        </w:rPr>
        <w:t xml:space="preserve"> </w:t>
      </w:r>
      <w:r>
        <w:rPr>
          <w:u w:val="single"/>
        </w:rPr>
        <w:t xml:space="preserve"> </w:t>
      </w:r>
      <w:r>
        <w:rPr>
          <w:u w:val="single"/>
        </w:rPr>
        <w:t xml:space="preserve">SOVEREIGN AND GOVERNMENTAL IMMUNITY WAIVED.  Sovereign and governmental immunity to suit is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