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2715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Local Government; May</w:t>
      </w:r>
      <w:r xml:space="preserve">
        <w:t> </w:t>
      </w:r>
      <w:r>
        <w:t xml:space="preserve">20,</w:t>
      </w:r>
      <w:r xml:space="preserve">
        <w:t> </w:t>
      </w:r>
      <w:r>
        <w:t xml:space="preserve">2025, reported favorably by the following vote:</w:t>
      </w:r>
      <w:r>
        <w:t xml:space="preserve"> </w:t>
      </w:r>
      <w:r>
        <w:t xml:space="preserve"> </w:t>
      </w:r>
      <w:r>
        <w:t xml:space="preserve">Yeas 4, Nays 2;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removal from office of certain officers of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87.015(c),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petition for removal of an officer </w:t>
      </w:r>
      <w:r>
        <w:rPr>
          <w:u w:val="single"/>
        </w:rPr>
        <w:t xml:space="preserve">under this subchapter</w:t>
      </w:r>
      <w:r>
        <w:t xml:space="preserve"> [</w:t>
      </w:r>
      <w:r>
        <w:rPr>
          <w:strike/>
        </w:rPr>
        <w:t xml:space="preserve">other than a prosecuting attorney must be addressed to the district judge of the court in which it is filed. A petition for removal of a prosecuting attorney</w:t>
      </w:r>
      <w:r>
        <w:t xml:space="preserve">] must be addressed to the presiding judge of the administrative judicial region in which the petition is filed. The petition must set forth the grounds alleged for the removal of the officer in plain and intelligible language and must cite the time and place of the occurrence of each act alleged as a ground for removal with as much certainty as the nature of the case permits.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87.0151, Local Government Code, is amended to read as follows:</w:t>
      </w:r>
    </w:p>
    <w:p w:rsidR="003F3435" w:rsidRDefault="0032493E">
      <w:pPr>
        <w:spacing w:line="480" w:lineRule="auto"/>
        <w:ind w:firstLine="720"/>
        <w:jc w:val="both"/>
      </w:pPr>
      <w:r>
        <w:t xml:space="preserve">Sec.</w:t>
      </w:r>
      <w:r xml:space="preserve">
        <w:t> </w:t>
      </w:r>
      <w:r>
        <w:t xml:space="preserve">87.0151.</w:t>
      </w:r>
      <w:r xml:space="preserve">
        <w:t> </w:t>
      </w:r>
      <w:r xml:space="preserve">
        <w:t> </w:t>
      </w:r>
      <w:r>
        <w:t xml:space="preserve">ASSIGNMENT OF JUDGE [</w:t>
      </w:r>
      <w:r>
        <w:rPr>
          <w:strike/>
        </w:rPr>
        <w:t xml:space="preserve">IN CERTAIN CASES</w:t>
      </w:r>
      <w:r>
        <w:t xml:space="preserve">]. </w:t>
      </w:r>
      <w:r>
        <w:t xml:space="preserve"> </w:t>
      </w:r>
      <w:r>
        <w:t xml:space="preserve">(a)  Immediately after a petition for removal of </w:t>
      </w:r>
      <w:r>
        <w:rPr>
          <w:u w:val="single"/>
        </w:rPr>
        <w:t xml:space="preserve">an officer under this subchapter</w:t>
      </w:r>
      <w:r>
        <w:t xml:space="preserve"> [</w:t>
      </w:r>
      <w:r>
        <w:rPr>
          <w:strike/>
        </w:rPr>
        <w:t xml:space="preserve">a prosecuting attorney</w:t>
      </w:r>
      <w:r>
        <w:t xml:space="preserve">] is filed under Section 87.015, the district clerk shall deliver a copy of the petition to the presiding judge of the administrative judicial region in which the court sits.</w:t>
      </w:r>
    </w:p>
    <w:p w:rsidR="003F3435" w:rsidRDefault="0032493E">
      <w:pPr>
        <w:spacing w:line="480" w:lineRule="auto"/>
        <w:ind w:firstLine="720"/>
        <w:jc w:val="both"/>
      </w:pPr>
      <w:r>
        <w:t xml:space="preserve">(b)</w:t>
      </w:r>
      <w:r xml:space="preserve">
        <w:t> </w:t>
      </w:r>
      <w:r xml:space="preserve">
        <w:t> </w:t>
      </w:r>
      <w:r>
        <w:t xml:space="preserve">On receiving a petition for removal [</w:t>
      </w:r>
      <w:r>
        <w:rPr>
          <w:strike/>
        </w:rPr>
        <w:t xml:space="preserve">of a prosecuting attorney</w:t>
      </w:r>
      <w:r>
        <w:t xml:space="preserve">] under Subsection (a), the presiding judge of the administrative judicial region shall assign a district court judge of a judicial district that does not include the county in which the petition was filed to conduct the removal proceedings.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87.018(f),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a proceeding to remove </w:t>
      </w:r>
      <w:r>
        <w:rPr>
          <w:u w:val="single"/>
        </w:rPr>
        <w:t xml:space="preserve">an officer under this subchapter</w:t>
      </w:r>
      <w:r>
        <w:t xml:space="preserve"> [</w:t>
      </w:r>
      <w:r>
        <w:rPr>
          <w:strike/>
        </w:rPr>
        <w:t xml:space="preserve">a prosecuting attorney from office</w:t>
      </w:r>
      <w:r>
        <w:t xml:space="preserve">], the presiding judge of the administrative judicial region in which the petition for removal was filed shall appoint a prosecuting attorney from another judicial district or county, as applicable, in the administrative judicial region to represent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87.018(d) and (e), Local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removal of an officer under Subchapter B, Chapter 87, Local Government Code, for which the petition for removal is filed under that subchapter on or after the effective date of this Act.  The removal of an officer for which the petition for removal is filed before the effective date of this Act is governed by the law in effect on the date the petition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