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89R2321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H.B.</w:t>
      </w:r>
      <w:r xml:space="preserve">
        <w:t> </w:t>
      </w:r>
      <w:r>
        <w:t xml:space="preserve">No.</w:t>
      </w:r>
      <w:r xml:space="preserve">
        <w:t> </w:t>
      </w:r>
      <w:r>
        <w:t xml:space="preserve">2761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the offenses of trafficking of persons and continuous trafficking of persons.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20A.02, Penal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subsection applies only to a prosecution for an offense under Subsection (a)(7) or (8), in which the actor is alleged to have caused a trafficked child or disabled individual to engage in or become the victim of prostitution, as defined by Section 43.01. It is not a defense to a prosecution described by this subsection that the trafficked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20A.03, Penal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subsection applies only to a prosecution for an offense under this section based on conduct constituting an offense under Section 20A.02(a)(7) or (8), in which the actor is alleged to have caused for one or more times a trafficked child or disabled individual to engage in or become the victim of prostitution as defined by Section 43.01.  It is not a defense to a prosecution described by this subsection that the trafficked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