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2766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plugging of certain inactive wells subject to the jurisdiction of the Railroad Commission of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89.023, Natural Resources Code, is amended by amending Subsection (b) and adding Subsections (c) through (g) to read as follows:</w:t>
      </w:r>
    </w:p>
    <w:p w:rsidR="003F3435" w:rsidRDefault="0032493E">
      <w:pPr>
        <w:spacing w:line="480" w:lineRule="auto"/>
        <w:ind w:firstLine="720"/>
        <w:jc w:val="both"/>
      </w:pPr>
      <w:r>
        <w:t xml:space="preserve">(b)</w:t>
      </w:r>
      <w:r xml:space="preserve">
        <w:t> </w:t>
      </w:r>
      <w:r xml:space="preserve">
        <w:t> </w:t>
      </w:r>
      <w:r>
        <w:t xml:space="preserve">Notwithstanding Subsection (a), an operator may not obtain an extension of the deadline for plugging an inactive well by complying with that subsection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if the plugging of the well is otherwise required by commission rules or orders</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inactive well: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an inactive well for more than 15 years;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25 years have elapsed since the well was completed, unless: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commission approves an order granting an applicant's exception to plugging the inactive well;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inactive well is included in an approved compliance plan under Subsection (e), in which the operator of the well commits to plug, or restore to active operation, the inactive well within a time period ending on September 1, 2040</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When considering a request under Subsection (b)(2)(B)(i) for an exception to plugging an inactive well, the commission shall consider an operator's demonstrated history of returning inactive wells to active status.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exception approved by order of the commission under Subsection (b)(2)(B)(i) is not transferrable to another operator and shall terminate upon transfer of the well, except that a new operator of that well may seek an additional exception under Subsection (b) for that well.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operator may request the commission or its delegate to approve a compliance plan for inactive wells. In approving a compliance plan pursuant to Subsection (b)(2)(B)(ii), the  commission or its delegate shall consider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years the well has been inactive and its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current economic conditions;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well operator's percentage of inactive wells as  compared to its total well count;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plan of action by the well operator to plug or bring its inactive wells into production, injection, or other service operation, which must include a compliance report to be submitted to the commission annually with the operator's P-5 renewal;</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whether the operator has financial assurance to cover the actual plugging costs of each well;</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well operator's record of compliance, the history of any previous violations, and the seriousness of any previous violations;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any potential hazards to the health and safety of the public or environmental risks posed by the inactive well;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demonstrated good faith of the well operator.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commission or its delegate denies an operator's request for approval of a compliance plan pursuant to Subsection (e), the operator may request a hearing and order of the commission.</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shall adopt rules that provide for administrative review and approval of requests to transfer an inactive well to another operator to ensure that wells of the  receiving operator are in compliance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B-1, Chapter 89, Natural Resources Code, is amended by adding Section 89.031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89.031.</w:t>
      </w:r>
      <w:r>
        <w:rPr>
          <w:u w:val="single"/>
        </w:rPr>
        <w:t xml:space="preserve"> </w:t>
      </w:r>
      <w:r>
        <w:rPr>
          <w:u w:val="single"/>
        </w:rPr>
        <w:t xml:space="preserve"> </w:t>
      </w:r>
      <w:r>
        <w:rPr>
          <w:u w:val="single"/>
        </w:rPr>
        <w:t xml:space="preserve">ANNUAL REPORT BY COMMISSION. </w:t>
      </w:r>
      <w:r>
        <w:rPr>
          <w:u w:val="single"/>
        </w:rPr>
        <w:t xml:space="preserve"> </w:t>
      </w:r>
      <w:r>
        <w:rPr>
          <w:u w:val="single"/>
        </w:rPr>
        <w:t xml:space="preserve">On or before September 1, 2026, and each year thereafter, the commission shall prepare and submit to the governor, lieutenant governor, and each member of the legislature a report on inactive wells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inactive wells in Texas;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age and length of inactivity for the inactive wells;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quantity of inactive wells that use each method for extending the deadline under this chapter for plugging inactive  wells;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identification of the financial assurance methods being used by operators for inactive wells under this chapter, and the quantity of the number of inactive wells for each category of financial assurance;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number of inactive wells and total wells that were plugged in the prior 12 months, including a breakdown by commission district of wells plugged by industry and by the commission using state-managed funds;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number of inactive wells that were returned to  production, injection, or other service operation in the prior 12 months;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P-5 status statistical summary of the number of operators of inactive wells including the total number of operators and total number of inactive wells for the status categories of active P-5, P-5 Extension, Delinquent P-5, and P-5 delinquent  greater than 12 months;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number of P-5 Organization Reports revoked under Section 91.114, the associated well count, the total amount of financial assurance in place for those operators, and the amount  of financial assurance collected;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annual cost calculation for plugging an inactive well, as defined in Section 89.002 (a)(9).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B-1, Chapter 89, Natural Resources Code, is amended by adding Section 89.032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89.032.</w:t>
      </w:r>
      <w:r>
        <w:rPr>
          <w:u w:val="single"/>
        </w:rPr>
        <w:t xml:space="preserve"> </w:t>
      </w:r>
      <w:r>
        <w:rPr>
          <w:u w:val="single"/>
        </w:rPr>
        <w:t xml:space="preserve"> </w:t>
      </w:r>
      <w:r>
        <w:rPr>
          <w:u w:val="single"/>
        </w:rPr>
        <w:t xml:space="preserve">COMMISSION RULEMAKING. </w:t>
      </w:r>
      <w:r>
        <w:rPr>
          <w:u w:val="single"/>
        </w:rPr>
        <w:t xml:space="preserve"> </w:t>
      </w:r>
      <w:r>
        <w:rPr>
          <w:u w:val="single"/>
        </w:rPr>
        <w:t xml:space="preserve">(a) </w:t>
      </w:r>
      <w:r>
        <w:rPr>
          <w:u w:val="single"/>
        </w:rPr>
        <w:t xml:space="preserve"> </w:t>
      </w:r>
      <w:r>
        <w:rPr>
          <w:u w:val="single"/>
        </w:rPr>
        <w:t xml:space="preserve">The commission  shall by rule adopt requirements for inactive wells. In its  rulemaking, the commission shall consider the following factors: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risk to public safety and/or the environment;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wellbore integrity and wellhead integrity including the ability to monitor casing pressures;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regional considerations of risk such as penetration of corrosive or overpressured formations, and completion in zones containing hydrogen sulfide.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commission's rules shall include requirements that within one year of the 15th anniversary of a well becoming inactive, the operator of that well submit a report to the  commission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demonstrates completion of a successful fluid level test or a mechanical integrity test of the well conducted in accordance with the commission's rules in effect at the time of the test, with a phase-in period for wells that require testing on the effective date of the rule;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includes documentation of the results of a successful fluid level test and reporting of pressure on the  production casing prior to testing.</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