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89R21800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 Geren</w:t>
      </w:r>
      <w:r xml:space="preserve">
        <w:tab wTab="150" tlc="none" cTlc="0"/>
      </w:r>
      <w:r>
        <w:t xml:space="preserve">H.B.</w:t>
      </w:r>
      <w:r xml:space="preserve">
        <w:t> </w:t>
      </w:r>
      <w:r>
        <w:t xml:space="preserve">No.</w:t>
      </w:r>
      <w:r xml:space="preserve">
        <w:t> </w:t>
      </w:r>
      <w:r>
        <w:t xml:space="preserve">2786</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2786:</w:t>
      </w:r>
    </w:p>
    <w:p w:rsidR="003F3435" w:rsidRDefault="0032493E">
      <w:pPr>
        <w:spacing w:line="480" w:lineRule="auto"/>
        <w:jc w:val="both"/>
        <w:tabs>
          <w:tab w:val="right" w:leader="none" w:pos="9350"/>
        </w:tabs>
      </w:pPr>
      <w:r>
        <w:t xml:space="preserve">By:</w:t>
      </w:r>
      <w:r xml:space="preserve">
        <w:t> </w:t>
      </w:r>
      <w:r xml:space="preserve">
        <w:t> </w:t>
      </w:r>
      <w:r>
        <w:t xml:space="preserve">Martinez Fischer</w:t>
      </w:r>
      <w:r xml:space="preserve">
        <w:tab wTab="150" tlc="none" cTlc="0"/>
      </w:r>
      <w:r>
        <w:t xml:space="preserve">C.S.H.B.</w:t>
      </w:r>
      <w:r xml:space="preserve">
        <w:t> </w:t>
      </w:r>
      <w:r>
        <w:t xml:space="preserve">No.</w:t>
      </w:r>
      <w:r xml:space="preserve">
        <w:t> </w:t>
      </w:r>
      <w:r>
        <w:t xml:space="preserve">2786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frequency with which certain appraisal districts are required to reappraise property for ad valorem tax purposes.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6.05(i), Tax Code, is amended to read as follows:</w:t>
      </w:r>
    </w:p>
    <w:p w:rsidR="003F3435" w:rsidRDefault="0032493E">
      <w:pPr>
        <w:spacing w:line="480" w:lineRule="auto"/>
        <w:ind w:firstLine="720"/>
        <w:jc w:val="both"/>
      </w:pPr>
      <w:r>
        <w:t xml:space="preserve">(i)</w:t>
      </w:r>
      <w:r xml:space="preserve">
        <w:t> </w:t>
      </w:r>
      <w:r xml:space="preserve">
        <w:t> </w:t>
      </w:r>
      <w:r>
        <w:t xml:space="preserve">To ensure adherence with generally accepted appraisal practices, the board of directors of an appraisal district shall develop biennially a written plan for the periodic reappraisal of all property within the boundaries of the district according to the requirements of Section 25.18 and shall hold a public hearing to consider the proposed plan. </w:t>
      </w:r>
      <w:r>
        <w:t xml:space="preserve"> </w:t>
      </w:r>
      <w:r>
        <w:rPr>
          <w:u w:val="single"/>
        </w:rPr>
        <w:t xml:space="preserve">The written plan developed by the board of directors of an appraisal district to which Section 6.0301 applies must provide for the annual reappraisal of all property within the boundaries of the district.</w:t>
      </w:r>
      <w:r>
        <w:t xml:space="preserve"> </w:t>
      </w:r>
      <w:r>
        <w:t xml:space="preserve"> </w:t>
      </w:r>
      <w:r>
        <w:t xml:space="preserve">Not later than the 10th day before the date of the hearing, the secretary of the board shall deliver to the presiding officer of the governing body of each taxing unit participating in the district a written notice of the date, time, and place for the hearing.  Not later than September 15 of each even-numbered year, the board shall complete its hearings, make any amendments, and by resolution finally approve the plan.  Copies of the approved plan shall be distributed to the presiding officer of the governing body of each taxing unit participating in the district and to the comptroller within 60 days of the approval date.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25.18, Tax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plan implemented by an appraisal office for an appraisal district to which Section 6.0301 applies shall provide for the reappraisal of all real and personal property by the chief appraiser each year.  The chief appraiser shall use the most recent information obtained through the reappraisal activities described by Subsection (b) when performing a reappraisal.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2786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