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89R21936 DRS-F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Vasut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2797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2797: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Gates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2797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home-rule municipalities to regulate the occupancy of dwelling units.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211, Local Government Code, is amended by adding Subchapter D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D.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RESIDENTIAL ZONING LIMITATIONS RELATED TO OCCUPANCY IN CERTAIN MUNICIPALITIES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DEFINITION. </w:t>
      </w:r>
      <w:r>
        <w:rPr>
          <w:u w:val="single"/>
        </w:rPr>
        <w:t xml:space="preserve"> </w:t>
      </w:r>
      <w:r>
        <w:rPr>
          <w:u w:val="single"/>
        </w:rPr>
        <w:t xml:space="preserve">In this subchapter, "dwelling</w:t>
      </w:r>
      <w:r>
        <w:rPr>
          <w:u w:val="single"/>
        </w:rPr>
        <w:t xml:space="preserve"> </w:t>
      </w:r>
      <w:r>
        <w:rPr>
          <w:u w:val="single"/>
        </w:rPr>
        <w:t xml:space="preserve">unit" means a house, apartment unit, or any unit in a multiunit residential structure. The term does not include a unit in a hotel, motel, or other establishment in which more than half of the units are intended to be used for transient accommodations.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APPLICABILITY. </w:t>
      </w:r>
      <w:r>
        <w:rPr>
          <w:u w:val="single"/>
        </w:rPr>
        <w:t xml:space="preserve"> </w:t>
      </w:r>
      <w:r>
        <w:rPr>
          <w:u w:val="single"/>
        </w:rPr>
        <w:t xml:space="preserve">This subchapter applies only to a home-rule municipality.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DWELLING UNIT OCCUPANCY REQUIREMENTS.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Except as provided by Subsection (b), a municipality may not adopt or enforce a zoning ordinance, rule, or other regulation that limits the number of people who may occupy a dwelling unit based 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age;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familial status;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occupation;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relationship status;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the occupants are related to each other by a certain degree of affinity or consanguinity.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may impose a limit on the number of occupants of a dwelling unit that is not more restrictive than: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occupant per sleeping room with a minimum floor area of 70 square feet;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additional occupant for each additional 50 square feet of floor area in the same sleeping room.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 EFFECT ON OTHER ZONING AUTHORITY. </w:t>
      </w:r>
      <w:r>
        <w:rPr>
          <w:u w:val="single"/>
        </w:rPr>
        <w:t xml:space="preserve"> </w:t>
      </w:r>
      <w:r>
        <w:rPr>
          <w:u w:val="single"/>
        </w:rPr>
        <w:t xml:space="preserve">This subchapter does not prohibit a municipality from imposing a limit on the number of people who may occupy a dwelling unit based on health and safety standards contained in: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building code as adopted under Subchapter G, Chapter 214;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fire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standards adopted by the Department of State Health Services;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local, state, or federal affordable housing program guidelines.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LEASE REVIEW PROHIBITED.  A municipality may not require a real estate broker, agent, or other third party fiduciary to submit for review or provide access to a lease or related document to determine the number of unrelated occupants of a dwelling unit for the purpose of enforcing a dwelling unit occupancy requirement.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 EFFECT ON PROPERTY OWNERS' ASSOCIATIONS AND OTHER PRIVATE AGREEMENTS. </w:t>
      </w:r>
      <w:r>
        <w:rPr>
          <w:u w:val="single"/>
        </w:rPr>
        <w:t xml:space="preserve"> </w:t>
      </w:r>
      <w:r>
        <w:rPr>
          <w:u w:val="single"/>
        </w:rPr>
        <w:t xml:space="preserve">This subchapter does not prohibit a property owner from enforcing rules or deed restrictions imposed by a property owners' association or by other private agreement.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PROPERTY OWNER ACTION.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A property owner in a municipality that violates this subchapter may bring an action against the municipality for damages incurred due to the violation and for appropriate equitable relief.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Governmental immunity of the municipality to suit and from liability is waived to the extent of liability created by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court may award a prevailing claimant reasonable attorney's fees incurred in bringing an action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2797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