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89R4653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home-rule municipalities to regulate the occupancy of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ZONING LIMITATIONS RELATED TO OCCUPANCY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subchapter, "dwelling unit" means a house, apartment unit, or any unit in a multiunit residential structure. The term does not include a unit in a hotel, motel, or other establishment in which more than half of the units are intended to be used for transient accommodations.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home-rule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DWELLING UNIT OCCUPANCY REQUIREMENTS.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may not adopt or enforce a zoning ordinance, rule, or other regulation that limits the number of people who may occupy a dwelling unit based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familial status;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relationship status;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occupants are related to each other by a certain degree of affinity or consanguinity.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municipality from imposing a limit on the number of people who may occupy a dwelling unit based on health and safety standards contained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as adopted under Subchapter G, Chapter 214;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standards adopted by the Department of State Health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or federal affordable housing program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PROPERTY OWNERS' 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OWNER ACTION.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property owner in a municipality that violates this subchapter may bring an action against the municipality for damages incurred due to the violation and for appropriate equitable relief.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the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may award a prevailing claimant reasonable attorney's fees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