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89R8123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w:t>
      </w:r>
      <w:r xml:space="preserve">
        <w:tab wTab="150" tlc="none" cTlc="0"/>
      </w:r>
      <w:r>
        <w:t xml:space="preserve">H.B.</w:t>
      </w:r>
      <w:r xml:space="preserve">
        <w:t> </w:t>
      </w:r>
      <w:r>
        <w:t xml:space="preserve">No.</w:t>
      </w:r>
      <w:r xml:space="preserve">
        <w:t> </w:t>
      </w:r>
      <w:r>
        <w:t xml:space="preserve">2824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facilities that store and distribute benzene or another volatile organic compound;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382.017, Health and Safety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shall review and update any rules adopted under this subchapter related to emissions of benzene at least once every five years.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382, Health and Safety Code, is amended by adding Subchapter M to read as follows:</w:t>
      </w:r>
    </w:p>
    <w:p w:rsidR="003F3435" w:rsidRDefault="0032493E">
      <w:pPr>
        <w:spacing w:line="480" w:lineRule="auto"/>
        <w:jc w:val="center"/>
      </w:pPr>
      <w:r>
        <w:rPr>
          <w:u w:val="single"/>
        </w:rPr>
        <w:t xml:space="preserve">SUBCHAPTER M. REGULATION OF CERTAIN CHEMICAL DISTRIBUTION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382.601.</w:t>
      </w:r>
      <w:r>
        <w:rPr>
          <w:u w:val="single"/>
        </w:rPr>
        <w:t xml:space="preserve"> </w:t>
      </w:r>
      <w:r>
        <w:rPr>
          <w:u w:val="single"/>
        </w:rPr>
        <w:t xml:space="preserve"> </w:t>
      </w:r>
      <w:r>
        <w:rPr>
          <w:u w:val="single"/>
        </w:rPr>
        <w:t xml:space="preserve">DEFINITION.  In this subchapter, "chemical distribution facility" means a facility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stores and distributes a substance that is classified by the United States Environmental Protection Agency as a volatile organic compound, including benzene, for the purposes of the state implementation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subject to a permit requirement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382.602.</w:t>
      </w:r>
      <w:r>
        <w:rPr>
          <w:u w:val="single"/>
        </w:rPr>
        <w:t xml:space="preserve"> </w:t>
      </w:r>
      <w:r>
        <w:rPr>
          <w:u w:val="single"/>
        </w:rPr>
        <w:t xml:space="preserve"> </w:t>
      </w:r>
      <w:r>
        <w:rPr>
          <w:u w:val="single"/>
        </w:rPr>
        <w:t xml:space="preserve">EMISSION CONTROL DEVICES.  The commission by rule shall require each chemical distribution facility to be equipped with state-of-the-art emission control devices, such as thermal oxidizers and carbon absorption systems, designed to effectively capture and treat benzene and other types of volatile organic compounds.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382.603.</w:t>
      </w:r>
      <w:r>
        <w:rPr>
          <w:u w:val="single"/>
        </w:rPr>
        <w:t xml:space="preserve"> </w:t>
      </w:r>
      <w:r>
        <w:rPr>
          <w:u w:val="single"/>
        </w:rPr>
        <w:t xml:space="preserve"> </w:t>
      </w:r>
      <w:r>
        <w:rPr>
          <w:u w:val="single"/>
        </w:rPr>
        <w:t xml:space="preserve">CONTINUOUS AIR QUALITY MONITORING STATIONS IN CERTAIN COMMUNITIES.  (a) </w:t>
      </w:r>
      <w:r>
        <w:rPr>
          <w:u w:val="single"/>
        </w:rPr>
        <w:t xml:space="preserve"> </w:t>
      </w:r>
      <w:r>
        <w:rPr>
          <w:u w:val="single"/>
        </w:rPr>
        <w:t xml:space="preserve">The commission by rule shall require an owner or operator of a chemical distribution facility to install and maintain continuous ambient air quality monitors in the communities adjacent to the chemical distribution facility, as determined by the commission, to collect data on the ambient concentration of benzene and other types of volatile organic compounds in those communities.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must require that the owner or operator of the facility provide data from each monitor installed by the owner or operator to the commission in real time. The commission shall make available in real time on its Internet website data received from each monitor.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382.604.</w:t>
      </w:r>
      <w:r>
        <w:rPr>
          <w:u w:val="single"/>
        </w:rPr>
        <w:t xml:space="preserve"> </w:t>
      </w:r>
      <w:r>
        <w:rPr>
          <w:u w:val="single"/>
        </w:rPr>
        <w:t xml:space="preserve"> </w:t>
      </w:r>
      <w:r>
        <w:rPr>
          <w:u w:val="single"/>
        </w:rPr>
        <w:t xml:space="preserve">INSPECTION AND MAINTENANCE SCHEDULE.  The commission by rule shall require regular emissions-related inspections and maintenance of a chemical distribution facility,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quarterly visual inspections;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inspections to ensure the facility is operated with no detectable emissions of regulated volatile organic compounds;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immediate repair of any issues identified by the commission, including unlatched hatches, damaged seals, and leaks.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382.605.</w:t>
      </w:r>
      <w:r>
        <w:rPr>
          <w:u w:val="single"/>
        </w:rPr>
        <w:t xml:space="preserve"> </w:t>
      </w:r>
      <w:r>
        <w:rPr>
          <w:u w:val="single"/>
        </w:rPr>
        <w:t xml:space="preserve"> </w:t>
      </w:r>
      <w:r>
        <w:rPr>
          <w:u w:val="single"/>
        </w:rPr>
        <w:t xml:space="preserve">COMPLIANCE AUDIT.  The commission shall conduct quarterly audits of each chemical distribution facility to determine compliance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382.606.</w:t>
      </w:r>
      <w:r>
        <w:rPr>
          <w:u w:val="single"/>
        </w:rPr>
        <w:t xml:space="preserve"> </w:t>
      </w:r>
      <w:r>
        <w:rPr>
          <w:u w:val="single"/>
        </w:rPr>
        <w:t xml:space="preserve"> </w:t>
      </w:r>
      <w:r>
        <w:rPr>
          <w:u w:val="single"/>
        </w:rPr>
        <w:t xml:space="preserve">VIOLATION OF SUBCHAPTER.  (a) </w:t>
      </w:r>
      <w:r>
        <w:rPr>
          <w:u w:val="single"/>
        </w:rPr>
        <w:t xml:space="preserve"> </w:t>
      </w:r>
      <w:r>
        <w:rPr>
          <w:u w:val="single"/>
        </w:rPr>
        <w:t xml:space="preserve">A violation of a provision of or rule adopted under this subchapter is punishable as an offense under Section 7.181,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penalty collected under this section must be deposited to the credit of the community environmental remediation fund created under Section 382.607.</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382.607.</w:t>
      </w:r>
      <w:r>
        <w:rPr>
          <w:u w:val="single"/>
        </w:rPr>
        <w:t xml:space="preserve"> </w:t>
      </w:r>
      <w:r>
        <w:rPr>
          <w:u w:val="single"/>
        </w:rPr>
        <w:t xml:space="preserve"> </w:t>
      </w:r>
      <w:r>
        <w:rPr>
          <w:u w:val="single"/>
        </w:rPr>
        <w:t xml:space="preserve">COMMUNITY ENVIRONMENTAL REMEDIATION FUND; GRANT PROGRAM. </w:t>
      </w:r>
      <w:r>
        <w:rPr>
          <w:u w:val="single"/>
        </w:rPr>
        <w:t xml:space="preserve"> </w:t>
      </w:r>
      <w:r>
        <w:rPr>
          <w:u w:val="single"/>
        </w:rPr>
        <w:t xml:space="preserve">(a) </w:t>
      </w:r>
      <w:r>
        <w:rPr>
          <w:u w:val="single"/>
        </w:rPr>
        <w:t xml:space="preserve"> </w:t>
      </w:r>
      <w:r>
        <w:rPr>
          <w:u w:val="single"/>
        </w:rPr>
        <w:t xml:space="preserve">The community environmental remediation fund is created as a special fund in the state treasury outside the general revenue fund. The fund consists of money deposited to the credit of the fund under Section 382.606. Money in the fund may be appropriated only to the commission for purposes of the grant program established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From money appropriated from the community environmental remediation fund for that purpose, the commission shall establish and administer a grant program to provide financial assistance to counties and municipalities for environmental remediation projects conducted in communities affected by a violation of this subchapter or another provision of this chapter that applies to chemical distribution facilities.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adopt rules to implement the program established under Subsection (b), including rules establishing: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 and community environmental remediation projects;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criteria for evaluating grant applications and awarding grants;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guidelines related to grant amounts;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Subsection (b) and ensuring compliance with any conditions of the grant.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