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89R9734 CS/RDS-D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2838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 [</w:t>
      </w:r>
      <w:r>
        <w:rPr>
          <w:strike/>
        </w:rPr>
        <w:t xml:space="preserve">the</w:t>
      </w:r>
      <w:r>
        <w:t xml:space="preserve">] speeds </w:t>
      </w:r>
      <w:r>
        <w:rPr>
          <w:u w:val="single"/>
        </w:rPr>
        <w:t xml:space="preserve">matching standards adopted by the Federal Communications Commission if required by the comptroller under Section 490I.0101(b), or if the comptroller has not exercised the comptroller's authority under that subsection,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w:t>
      </w:r>
      <w:r>
        <w:rPr>
          <w:u w:val="single"/>
        </w:rPr>
        <w:t xml:space="preserve">250</w:t>
      </w:r>
      <w:r>
        <w:t xml:space="preserve"> [</w:t>
      </w:r>
      <w:r>
        <w:rPr>
          <w:strike/>
        </w:rPr>
        <w:t xml:space="preserve">100</w:t>
      </w:r>
      <w:r>
        <w:t xml:space="preserve">]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490I.0106(a), (a-1), (a-2), (a-3), (b), (d),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w:t>
      </w:r>
      <w:r>
        <w:rPr>
          <w:strike/>
        </w:rPr>
        <w:t xml:space="preserve">to applicants</w:t>
      </w:r>
      <w:r>
        <w:t xml:space="preserve">]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grant, loan, or other financial incentive under Subsection (a-1)</w:t>
      </w:r>
      <w:r>
        <w:t xml:space="preserve"> relating to whether the </w:t>
      </w:r>
      <w:r>
        <w:rPr>
          <w:u w:val="single"/>
        </w:rPr>
        <w:t xml:space="preserve">broadband-serviceable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