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89R13353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DeAyala</w:t>
      </w:r>
      <w:r xml:space="preserve">
        <w:tab wTab="150" tlc="none" cTlc="0"/>
      </w:r>
      <w:r>
        <w:t xml:space="preserve">H.B.</w:t>
      </w:r>
      <w:r xml:space="preserve">
        <w:t> </w:t>
      </w:r>
      <w:r>
        <w:t xml:space="preserve">No.</w:t>
      </w:r>
      <w:r xml:space="preserve">
        <w:t> </w:t>
      </w:r>
      <w:r>
        <w:t xml:space="preserve">2988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award of costs and attorney's fees in an action involving the exercise of certain constitutional rights.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27, Civil Practice and Remedies Code, is amended by adding Section 27.0091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27.0091.</w:t>
      </w:r>
      <w:r>
        <w:rPr>
          <w:u w:val="single"/>
        </w:rPr>
        <w:t xml:space="preserve"> </w:t>
      </w:r>
      <w:r>
        <w:rPr>
          <w:u w:val="single"/>
        </w:rPr>
        <w:t xml:space="preserve"> </w:t>
      </w:r>
      <w:r>
        <w:rPr>
          <w:u w:val="single"/>
        </w:rPr>
        <w:t xml:space="preserve">COSTS. </w:t>
      </w:r>
      <w:r>
        <w:rPr>
          <w:u w:val="single"/>
        </w:rPr>
        <w:t xml:space="preserve"> </w:t>
      </w:r>
      <w:r>
        <w:rPr>
          <w:u w:val="single"/>
        </w:rPr>
        <w:t xml:space="preserve">In any legal action subject to this chapter, the court may award costs and reasonable and necessary attorney's fees as are equitable and just.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27.007 and 27.009, Civil Practice and Remedies Code, are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action filed on or after the effective date of this Act. </w:t>
      </w:r>
      <w:r>
        <w:t xml:space="preserve"> </w:t>
      </w:r>
      <w:r>
        <w:t xml:space="preserve">An action filed before the effective date of this Act is governed by the law as it existed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