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w:t xml:space="preserve"> (Senate Sponsor</w:t>
      </w:r>
      <w:r xml:space="preserve">
        <w:t> </w:t>
      </w:r>
      <w:r>
        <w:t xml:space="preserve">-</w:t>
      </w:r>
      <w:r xml:space="preserve">
        <w:t> </w:t>
      </w:r>
      <w:r>
        <w:t xml:space="preserve">Perry, et al.)</w:t>
      </w:r>
      <w:r xml:space="preserve">
        <w:tab wTab="150" tlc="none" cTlc="0"/>
      </w:r>
      <w:r>
        <w:t xml:space="preserve">H.B.</w:t>
      </w:r>
      <w:r xml:space="preserve">
        <w:t> </w:t>
      </w:r>
      <w:r>
        <w:t xml:space="preserve">No.</w:t>
      </w:r>
      <w:r xml:space="preserve">
        <w:t> </w:t>
      </w:r>
      <w:r>
        <w:t xml:space="preserve">3000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16,</w:t>
      </w:r>
      <w:r xml:space="preserve">
        <w:t> </w:t>
      </w:r>
      <w:r>
        <w:t xml:space="preserve">2025, read first time and referred to Committee on Finance; May</w:t>
      </w:r>
      <w:r xml:space="preserve">
        <w:t> </w:t>
      </w:r>
      <w:r>
        <w:t xml:space="preserve">25,</w:t>
      </w:r>
      <w:r xml:space="preserve">
        <w:t> </w:t>
      </w:r>
      <w:r>
        <w:t xml:space="preserve">2025, reported favorably by the following vote:</w:t>
      </w:r>
      <w:r>
        <w:t xml:space="preserve"> </w:t>
      </w:r>
      <w:r>
        <w:t xml:space="preserve"> </w:t>
      </w:r>
      <w:r>
        <w:t xml:space="preserve">Yeas 14, Nays 0;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grant program to provide financial assistance to qualified ambulance service providers in certain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AMBULANCE SERVICE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program" means the rural ambulance service grant program established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county" is a county that has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rural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may submit a grant application to the comptroller.  A county may submit only one application each fiscal year. </w:t>
      </w:r>
      <w:r>
        <w:rPr>
          <w:u w:val="single"/>
        </w:rPr>
        <w:t xml:space="preserve"> </w:t>
      </w:r>
      <w:r>
        <w:rPr>
          <w:u w:val="single"/>
        </w:rPr>
        <w:t xml:space="preserve">If a county is awarded a grant under this program, the county is ineligible to apply for an additional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award a grant to a qualified county using money appropriated to the comptroller for that purpose and only in accordance with a contract between the comptroller and the county that includes conditions providing the comptroller with sufficient control to ensure the public purpose of providing adequate ground ambulance services is accomplished.  In awarding grants, the comptroller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distance from a qualified county's county seat to the nearest Level I trauma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county's ability to otherwise obtain the money necessary to provide adequate ground ambulance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award a grant under this section only in the following applicable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county with a population of less than 10,000, an amount not to exceed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county with a population between 10,000 and 68,750, an amount not to exceed $350,000.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qualified county awarded a grant under this section may use or authorize the use of the grant money only to purchase ambulances as provided by comptroller rule.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county awarded a grant under this section may not reduce the budget of the qualified rural ambulance service provider for the county's next fiscal year following the fiscal year of the grant award.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disburse a grant award to a qualified county before the county places an order for an ambulance.  The county shall purchase and take possession of an ambulance with money awarded under the grant program not later than the fifth anniversary of the date the county receives the money.  The comptroller shall adopt rules necessary to implement this section, including rules to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the form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a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disbursing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return of grant money awarded if a county fails to use the money for a purpose authorized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of ground ambulance vehicles that may be purchased with grant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qualified county, as defined by Section 130.914(a)(2), Local Government Code, as added by this Act, may apply for a rural ambulance service grant on or after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the comptroller of public accounts shall establish and administer the rural ambulance service grant program and adopt the rules necessary to implement the program as required by Section 130.914,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