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et al.</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3010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Finance; May</w:t>
      </w:r>
      <w:r xml:space="preserve">
        <w:t> </w:t>
      </w:r>
      <w:r>
        <w:t xml:space="preserve">23,</w:t>
      </w:r>
      <w:r xml:space="preserve">
        <w:t> </w:t>
      </w:r>
      <w:r>
        <w:t xml:space="preserve">2025, reported favorably by the following vote:</w:t>
      </w:r>
      <w:r>
        <w:t xml:space="preserve"> </w:t>
      </w:r>
      <w:r>
        <w:t xml:space="preserve"> </w:t>
      </w:r>
      <w:r>
        <w:t xml:space="preserve">Yeas 15,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$2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15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project does not qualify for federal funding through the Federal Emergency Management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use the rural infrastructure disaster recovery account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grant to an eligible political subdivision;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the necessary and reasonable expenses of administering the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418.087.</w:t>
      </w:r>
      <w:r>
        <w:rPr>
          <w:u w:val="single"/>
        </w:rPr>
        <w:t xml:space="preserve"> </w:t>
      </w:r>
      <w:r>
        <w:rPr>
          <w:u w:val="single"/>
        </w:rPr>
        <w:t xml:space="preserve"> </w:t>
      </w:r>
      <w:r>
        <w:rPr>
          <w:u w:val="single"/>
        </w:rPr>
        <w:t xml:space="preserve">RULES. </w:t>
      </w:r>
      <w:r>
        <w:rPr>
          <w:u w:val="single"/>
        </w:rPr>
        <w:t xml:space="preserve"> </w:t>
      </w:r>
      <w:r>
        <w:rPr>
          <w:u w:val="single"/>
        </w:rP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