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89R24502 RDR-F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3041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3041:</w:t>
      </w:r>
    </w:p>
    <w:p w:rsidR="003F3435" w:rsidRDefault="0032493E">
      <w:pPr>
        <w:spacing w:line="480" w:lineRule="auto"/>
        <w:jc w:val="both"/>
        <w:tabs>
          <w:tab w:val="right" w:leader="none" w:pos="9350"/>
        </w:tabs>
      </w:pPr>
      <w:r>
        <w:t xml:space="preserve">By:</w:t>
      </w:r>
      <w:r xml:space="preserve">
        <w:t> </w:t>
      </w:r>
      <w:r xml:space="preserve">
        <w:t> </w:t>
      </w:r>
      <w:r>
        <w:t xml:space="preserve">Perez of El Paso</w:t>
      </w:r>
      <w:r xml:space="preserve">
        <w:tab wTab="150" tlc="none" cTlc="0"/>
      </w:r>
      <w:r>
        <w:t xml:space="preserve">C.S.H.B.</w:t>
      </w:r>
      <w:r xml:space="preserve">
        <w:t> </w:t>
      </w:r>
      <w:r>
        <w:t xml:space="preserve">No.</w:t>
      </w:r>
      <w:r xml:space="preserve">
        <w:t> </w:t>
      </w:r>
      <w:r>
        <w:t xml:space="preserve">3041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51.803(a-1), (a-2), and (m), Education Code, are amended to read as follows:</w:t>
      </w:r>
    </w:p>
    <w:p w:rsidR="003F3435" w:rsidRDefault="0032493E">
      <w:pPr>
        <w:spacing w:line="480" w:lineRule="auto"/>
        <w:ind w:firstLine="720"/>
        <w:jc w:val="both"/>
      </w:pPr>
      <w:r>
        <w:t xml:space="preserve">(a-1)</w:t>
      </w:r>
      <w:r xml:space="preserve">
        <w:t> </w:t>
      </w:r>
      <w:r xml:space="preserve">
        <w:t> </w:t>
      </w:r>
      <w:r>
        <w:t xml:space="preserve">Beginning with admissions for the 2011-2012 academic year, The University of Texas at Austin is not required to offer admission to applicants who qualify for automatic admission under Subsection (a) in excess of the number required to fill 75 percent of the university's enrollment capacity designated for first-time resident undergraduate students in an academic year.</w:t>
      </w:r>
      <w:r xml:space="preserve">
        <w:t> </w:t>
      </w:r>
      <w:r xml:space="preserve">
        <w:t> </w:t>
      </w:r>
      <w:r>
        <w:t xml:space="preserve">If the number of applicants who qualify for automatic admission to The University of Texas at Austin under Subsection (a) for an academic year exceeds 75 percent of the university's enrollment capacity designated for first-time resident undergraduate students for that academic year, the university may elect to offer admission to those applicants as provided by this subsection and not as otherwise required by Subsection (a).</w:t>
      </w:r>
      <w:r xml:space="preserve">
        <w:t> </w:t>
      </w:r>
      <w:r xml:space="preserve">
        <w:t> </w:t>
      </w:r>
      <w:r>
        <w:t xml:space="preserve">If the university elects to offer admission under this subsection, </w:t>
      </w:r>
      <w:r>
        <w:rPr>
          <w:u w:val="single"/>
        </w:rPr>
        <w:t xml:space="preserve">except as otherwise provided by this subsection for those students who completed a nontraditional secondary education,</w:t>
      </w:r>
      <w:r>
        <w:t xml:space="preserve"> the university shall offer admission to those applicants by percentile rank according to high school graduating class standing based on grade point average, beginning with the top percentile rank, until the applicants qualified under Subsection (a)</w:t>
      </w:r>
      <w:r>
        <w:rPr>
          <w:u w:val="single"/>
        </w:rPr>
        <w:t xml:space="preserve">, including those applicants who completed a nontraditional secondary education as determined below,</w:t>
      </w:r>
      <w:r>
        <w:t xml:space="preserve">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w:t>
      </w:r>
      <w:r xml:space="preserve">
        <w:t> </w:t>
      </w:r>
      <w:r xml:space="preserve">
        <w:t> </w:t>
      </w:r>
      <w:r>
        <w:rPr>
          <w:u w:val="single"/>
        </w:rPr>
        <w:t xml:space="preserve">Notwithstanding Section 51.9241, for the admission under this subsection of those applicants qualified for automatic admission under Subsection (a) who completed a nontraditional secondary education, instead of offering admission to those applicants by high school graduating class percentile rank, the university shall offer admission to those applicants whose score on a standardized test on a college entrance examination meets or exceeds a benchmark test score set by the university for purposes of this subsection.  The university shall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w:t>
      </w:r>
      <w:r>
        <w:t xml:space="preserve">  After the applicants qualified for automatic admission under Subsection (a)</w:t>
      </w:r>
      <w:r>
        <w:rPr>
          <w:u w:val="single"/>
        </w:rPr>
        <w:t xml:space="preserve">, including those who completed a nontraditional secondary education,</w:t>
      </w:r>
      <w:r>
        <w:t xml:space="preserve"> have been offered admission under this subsection in the number estimated in good faith as sufficient to fill 75 percent of the designated enrollment capacity described by this subsection, the university shall consider any remaining applicants qualified for automatic admission under Subsection (a) in the same manner as other applicants for admission as first-time undergraduate students in accordance with Section 51.805.  </w:t>
      </w:r>
      <w:r>
        <w:rPr>
          <w:u w:val="single"/>
        </w:rPr>
        <w:t xml:space="preserve">In this subsection, "nontraditional secondary education" has the meaning assigned by Section 51.9241.</w:t>
      </w:r>
    </w:p>
    <w:p w:rsidR="003F3435" w:rsidRDefault="0032493E">
      <w:pPr>
        <w:spacing w:line="480" w:lineRule="auto"/>
        <w:ind w:firstLine="720"/>
        <w:jc w:val="both"/>
      </w:pPr>
      <w:r>
        <w:t xml:space="preserve">(a-2)</w:t>
      </w:r>
      <w:r xml:space="preserve">
        <w:t> </w:t>
      </w:r>
      <w:r xml:space="preserve">
        <w:t> </w:t>
      </w:r>
      <w: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the institution shall, in the manner prescribed by the Texas Education Agency and not later than September 15, provide to each school district, for dissemination of the information to high school junior-level students and their parents, notice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which percentile ranks of high school senior-level students who qualify for automatic admission under Subsection (a) are anticipated by the institution to be offered admission under Subsection (a-1) during the next school year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what benchmark test score will be used by the institution to offer admission under Subsection (a-1) during the next school year to students who qualify for automatic admission under Subsection (a) and who complete a nontraditional secondary education</w:t>
      </w:r>
      <w:r>
        <w:t xml:space="preserve">.</w:t>
      </w:r>
    </w:p>
    <w:p w:rsidR="003F3435" w:rsidRDefault="0032493E">
      <w:pPr>
        <w:spacing w:line="480" w:lineRule="auto"/>
        <w:ind w:firstLine="720"/>
        <w:jc w:val="both"/>
      </w:pPr>
      <w:r>
        <w:t xml:space="preserve">(m)</w:t>
      </w:r>
      <w:r xml:space="preserve">
        <w:t> </w:t>
      </w:r>
      <w:r xml:space="preserve">
        <w:t> </w:t>
      </w:r>
      <w:r>
        <w:t xml:space="preserve">In determining the eligibility for admission under </w:t>
      </w:r>
      <w:r>
        <w:rPr>
          <w:u w:val="single"/>
        </w:rPr>
        <w:t xml:space="preserve">Subsection (a)</w:t>
      </w:r>
      <w:r>
        <w:t xml:space="preserve"> [</w:t>
      </w:r>
      <w:r>
        <w:rPr>
          <w:strike/>
        </w:rPr>
        <w:t xml:space="preserve">this section</w:t>
      </w:r>
      <w:r>
        <w:t xml:space="preserve">] of an applicant with a nontraditional secondary education, as defined by Section 51.9241, that does not include a high school graduating class ranking, a general academic teaching institution shall calculate the applicant's class rank in the manner provided by Section 51.9241(d).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51, Education Code, is amended by adding Section 51.9675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51.9675.</w:t>
      </w:r>
      <w:r>
        <w:rPr>
          <w:u w:val="single"/>
        </w:rPr>
        <w:t xml:space="preserve"> </w:t>
      </w:r>
      <w:r>
        <w:rPr>
          <w:u w:val="single"/>
        </w:rPr>
        <w:t xml:space="preserve"> </w:t>
      </w:r>
      <w:r>
        <w:rPr>
          <w:u w:val="single"/>
        </w:rPr>
        <w:t xml:space="preserve">EQUAL ACCESS TO DUAL CREDIT COURSES.  (a) </w:t>
      </w:r>
      <w:r>
        <w:rPr>
          <w:u w:val="single"/>
        </w:rPr>
        <w:t xml:space="preserve"> </w:t>
      </w:r>
      <w:r>
        <w:rPr>
          <w:u w:val="single"/>
        </w:rPr>
        <w:t xml:space="preserve">In this section, "institution of higher education"</w:t>
      </w:r>
      <w:r>
        <w:rPr>
          <w:u w:val="single"/>
        </w:rPr>
        <w:t xml:space="preserve"> </w:t>
      </w:r>
      <w:r>
        <w:rPr>
          <w:u w:val="single"/>
        </w:rPr>
        <w:t xml:space="preserve">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admitting or enrolling high school students in a dual credit course, an institution of higher education must apply the same criteria and conditions to each student wishing to enroll in the course without regard to whether the student attends a public school or a private or parochial school, including a home school.  For purposes of this section, a student who attends a school that is not formally organized as a high school and is at least 16 years of age is considered to be attending a high school.</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to Sections 51.803 and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51.9675, Education Code, as added by this Act, applies beginning with admissions or enrollment in a dual credit course at a public institution of higher education for the 2026 fall semester. </w:t>
      </w:r>
      <w:r>
        <w:t xml:space="preserve"> </w:t>
      </w:r>
      <w:r>
        <w:t xml:space="preserve">Admissions or enrollment in a dual credit course at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