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89R10280 RDR-F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3041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support the enrollment of students with a nontraditional secondary education at public institutions of higher education, including eligibility for certain student financial assistance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51.9241, Education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w:t>
      </w:r>
      <w:r>
        <w:rPr>
          <w:u w:val="single"/>
        </w:rPr>
        <w:t xml:space="preserve">assign a class rank to</w:t>
      </w:r>
      <w:r>
        <w:t xml:space="preserve"> [</w:t>
      </w:r>
      <w:r>
        <w:rPr>
          <w:strike/>
        </w:rPr>
        <w:t xml:space="preserve">place</w:t>
      </w:r>
      <w:r>
        <w:t xml:space="preserve">] any applicant who presents evidence that the applicant has successfully completed a nontraditional secondary education that does not include a high school graduating class ranking </w:t>
      </w:r>
      <w:r>
        <w:rPr>
          <w:u w:val="single"/>
        </w:rPr>
        <w:t xml:space="preserve">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assigning to the applicant the highest class rank for which the applicant's score on a college entrance examination the institution considers in admissions is at least equal to the median score for that class rank calculated under Subdivision (1)</w:t>
      </w:r>
      <w:r>
        <w:t xml:space="preserve"> [</w:t>
      </w:r>
      <w:r>
        <w:rPr>
          <w:strike/>
        </w:rPr>
        <w:t xml:space="preserve">at the average high school graduating class rank of undergraduate applicants to the institution who have equivalent standardized testing scores as the applicant</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56.013, Education Code, is amended to read as follows:</w:t>
      </w: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INFORMATION REGARDING FINANCIAL ASSISTANCE FUNDED FROM DESIGNATED TUITION.  The Texas Higher Education Coordinating Board shall </w:t>
      </w:r>
      <w:r>
        <w:rPr>
          <w:u w:val="single"/>
        </w:rPr>
        <w:t xml:space="preserve">post on the coordinating board's Internet website and</w:t>
      </w:r>
      <w:r>
        <w:t xml:space="preserve">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  The coordinating board shall recommend a method of delivery of the information to parents and students under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56.304(a),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graduated not earlier than the 1998-1999 school year and who completed the recommended or advanced high school curriculum established under Section 28.002 or 28.025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56.3041(a),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completed the foundation high school program established under Section 28.025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28.009(a)(1),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51.334 on any assessment instrument designated by the coordinating board under that section or qualification for an exemption as described by Section 51.338(b),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56.304(a)(2)(A);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56.304(h),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56.308(a)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coordinating board shall </w:t>
      </w:r>
      <w:r>
        <w:rPr>
          <w:u w:val="single"/>
        </w:rPr>
        <w:t xml:space="preserve">post on the coordinating board's Internet website and</w:t>
      </w:r>
      <w:r>
        <w:t xml:space="preserve"> distribute to each eligible institution and to each school district a copy of the rules adopted under this subchapter.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56.304, a person who graduated from an accredited private high school </w:t>
      </w:r>
      <w:r>
        <w:rPr>
          <w:u w:val="single"/>
        </w:rPr>
        <w:t xml:space="preserve">or who presents evidence of successful completion of a nontraditional secondary education, as defined by Section 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56.484, Education Code, is amended to read as follows:</w:t>
      </w:r>
    </w:p>
    <w:p w:rsidR="003F3435" w:rsidRDefault="0032493E">
      <w:pPr>
        <w:spacing w:line="480" w:lineRule="auto"/>
        <w:ind w:firstLine="720"/>
        <w:jc w:val="both"/>
      </w:pPr>
      <w:r>
        <w:t xml:space="preserve">Sec.</w:t>
      </w:r>
      <w:r xml:space="preserve">
        <w:t> </w:t>
      </w:r>
      <w:r>
        <w:t xml:space="preserve">56.484.</w:t>
      </w:r>
      <w:r xml:space="preserve">
        <w:t> </w:t>
      </w:r>
      <w:r xml:space="preserve">
        <w:t> </w:t>
      </w:r>
      <w:r>
        <w:t xml:space="preserve">INITIAL ELIGIBILITY FOR SCHOLARSHIP.  </w:t>
      </w:r>
      <w:r>
        <w:rPr>
          <w:u w:val="single"/>
        </w:rPr>
        <w:t xml:space="preserve">(a)</w:t>
      </w:r>
      <w:r>
        <w:t xml:space="preserve">  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w:t>
      </w:r>
      <w:r>
        <w:rPr>
          <w:u w:val="single"/>
        </w:rPr>
        <w:t xml:space="preserve">, or be a graduate who presents evidence of successful completion of a nontraditional secondary education, as defined by Section 51.9241,</w:t>
      </w:r>
      <w:r>
        <w:t xml:space="preserve"> in this state while ranked in the top 10 percent or as the valedictorian of the student's graduating class, subject to Section 56.487(b);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28.025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51.803(a-1);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54.052;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(a)(1), the class rank of a student who presents evidence of successful completion of a nontraditional secondary education shall be calculated in the manner provided by Section 51.9241(d)(1).</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to Section 51.9241, Education Code, apply beginning with admissions to a public institution of higher education for the 2026 fall semester.  Admissions to a public institution of higher education for a term or semester before the 2026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to Chapter 56, Education Code, apply beginning with student financial assistance awarded by a public institution of higher education for the 2026 fall semester.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