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89R12612 DNC-F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Virdell, Cain, Hickland, Louderback,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3053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Ashby,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and county firearm buyback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280, Local Government Code, is amended by adding Section 280.005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280.005.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FIREARM BUYBACK PROGRAMS PROHIBITED.  A municipality or county may not adopt or enforce an ordinance, order, or other measure in which the municipality or county organizes, sponsors, or participates in a program that purchases or offers to purchase firearms with the intent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remove firearms from circulation;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 the number of firearms owned by civilians;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individuals to sell firearms without fear of criminal prosecution.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