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89R12612 DNC-F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Virdell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and county firearm buyback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280, Local Government Code, is amended by adding Section 280.005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280.005.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FIREARM BUYBACK PROGRAMS PROHIBITED.  A municipality or county may not adopt or enforce an ordinance, order, or other measure in which the municipality or county organizes, sponsors, or participates in a program that purchases or offers to purchase firearms with the intent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remove firearms from circulation;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reduce the number of firearms owned by civilians;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individuals to sell firearms without fear of criminal prosecution.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