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Gerdes, et al.</w:t>
      </w:r>
      <w:r>
        <w:t xml:space="preserve"> (Senate Sponsor</w:t>
      </w:r>
      <w:r xml:space="preserve">
        <w:t> </w:t>
      </w:r>
      <w:r>
        <w:t xml:space="preserve">-</w:t>
      </w:r>
      <w:r xml:space="preserve">
        <w:t> </w:t>
      </w:r>
      <w:r>
        <w:t xml:space="preserve">Schwertner)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3092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Received from the House May</w:t>
      </w:r>
      <w:r xml:space="preserve">
        <w:t> </w:t>
      </w:r>
      <w:r>
        <w:t xml:space="preserve">5,</w:t>
      </w:r>
      <w:r xml:space="preserve">
        <w:t> </w:t>
      </w:r>
      <w:r>
        <w:t xml:space="preserve">2025; May</w:t>
      </w:r>
      <w:r xml:space="preserve">
        <w:t> </w:t>
      </w:r>
      <w:r>
        <w:t xml:space="preserve">5,</w:t>
      </w:r>
      <w:r xml:space="preserve">
        <w:t> </w:t>
      </w:r>
      <w:r>
        <w:t xml:space="preserve">2025, read first time and referred to Committee on Business &amp; Commerce; May</w:t>
      </w:r>
      <w:r xml:space="preserve">
        <w:t> </w:t>
      </w:r>
      <w:r>
        <w:t xml:space="preserve">25,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11, Nays 0; May</w:t>
      </w:r>
      <w:r xml:space="preserve">
        <w:t> </w:t>
      </w:r>
      <w:r>
        <w:t xml:space="preserve">25,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Schwertner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King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Blanco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Campbell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Creighton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Johnson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Kolkhorst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Menéndez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Middleton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Nichols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Zaffirini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a certificate of public convenience and necessity to construct an electric transmission line.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37.052(c), Utilities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An electric utility is not required to amend the utility's certificate of public convenience and necessity to construct a transmission line that connects the utility's existing transmission facilities to a substation or metering point if: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the transmission line does not exceed: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rPr>
          <w:u w:val="single"/>
        </w:rPr>
        <w:t xml:space="preserve">five</w:t>
      </w:r>
      <w:r>
        <w:t xml:space="preserve"> [</w:t>
      </w:r>
      <w:r>
        <w:rPr>
          <w:strike/>
        </w:rPr>
        <w:t xml:space="preserve">three</w:t>
      </w:r>
      <w:r>
        <w:t xml:space="preserve">] miles in length, if the line connects to a load-serving substation or metering point; or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two miles in length, if the line connects to a generation substation or metering point;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each landowner whose property would be directly affected by the transmission line, as provided by commission rules, provides written consent for the transmission line;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all rights-of-way necessary for construction of the transmission line have been purchased.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3092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