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89R20631 BCH-F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H.B.</w:t>
      </w:r>
      <w:r xml:space="preserve">
        <w:t> </w:t>
      </w:r>
      <w:r>
        <w:t xml:space="preserve">No.</w:t>
      </w:r>
      <w:r xml:space="preserve">
        <w:t> </w:t>
      </w:r>
      <w:r>
        <w:t xml:space="preserve">3104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and compensation of a bailiff appointed by the judges of certain district courts in Webb County.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53.001(a),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judges of the 30th, 70th, 71st, 78th, 89th, </w:t>
      </w:r>
      <w:r>
        <w:rPr>
          <w:u w:val="single"/>
        </w:rPr>
        <w:t xml:space="preserve">and</w:t>
      </w:r>
      <w:r>
        <w:t xml:space="preserve"> 161st [</w:t>
      </w:r>
      <w:r>
        <w:rPr>
          <w:strike/>
        </w:rPr>
        <w:t xml:space="preserve">, and 341st</w:t>
      </w:r>
      <w:r>
        <w:t xml:space="preserve">] district courts, the judges of the district courts having jurisdiction in Taylor County, the judges of the county courts at law of Taylor County, and the judge of the County Court of Harrison County shall each appoint a bailiff.</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53.001(i) and 53.009(d), Government Code, are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do not apply to a bailiff appointed by the judge of the 341st or 406th district court before the effective date of this Act. </w:t>
      </w:r>
      <w:r>
        <w:t xml:space="preserve"> </w:t>
      </w:r>
      <w:r>
        <w:t xml:space="preserve">A bailiff appointed by the judge of the 341st or 406th district court shall continue to serve and receive compensation from Webb County in the same manner as before the effective date of this Act and shall be eligible to receive any longevity or cost of living salary increases available to a bailiff serving in Webb County before the effective date of this Act. </w:t>
      </w:r>
      <w:r>
        <w:t xml:space="preserve"> </w:t>
      </w:r>
      <w:r>
        <w:t xml:space="preserve">The former law is continued in effect for the purposes of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