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89R11983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Kitzman, Spiller, Oliverson, Cook,</w:t>
      </w:r>
      <w:r xml:space="preserve">
        <w:tab wTab="150" tlc="none" cTlc="0"/>
      </w:r>
      <w:r>
        <w:t xml:space="preserve">H.B.</w:t>
      </w:r>
      <w:r xml:space="preserve">
        <w:t> </w:t>
      </w:r>
      <w:r>
        <w:t xml:space="preserve">No.</w:t>
      </w:r>
      <w:r xml:space="preserve">
        <w:t> </w:t>
      </w:r>
      <w:r>
        <w:t xml:space="preserve">3120</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duties of the owner or operator of a residential child detention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411, Government Code, is amended by adding Section 411.14103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411.14103.</w:t>
      </w:r>
      <w:r>
        <w:rPr>
          <w:u w:val="single"/>
        </w:rPr>
        <w:t xml:space="preserve"> </w:t>
      </w:r>
      <w:r>
        <w:rPr>
          <w:u w:val="single"/>
        </w:rPr>
        <w:t xml:space="preserve"> </w:t>
      </w:r>
      <w:r>
        <w:rPr>
          <w:u w:val="single"/>
        </w:rPr>
        <w:t xml:space="preserve">ACCESS TO CRIMINAL HISTORY RECORD INFORMATION: RESIDENTIAL CHILD DETENTION FACILITIES. </w:t>
      </w:r>
      <w:r>
        <w:rPr>
          <w:u w:val="single"/>
        </w:rPr>
        <w:t xml:space="preserve"> </w:t>
      </w:r>
      <w:r>
        <w:rPr>
          <w:u w:val="single"/>
        </w:rPr>
        <w:t xml:space="preserve">(a) </w:t>
      </w:r>
      <w:r>
        <w:rPr>
          <w:u w:val="single"/>
        </w:rPr>
        <w:t xml:space="preserve"> </w:t>
      </w:r>
      <w:r>
        <w:rPr>
          <w:u w:val="single"/>
        </w:rPr>
        <w:t xml:space="preserve">In this section, "residential child detention facility" has the meaning assigned by Section 250.013,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operator of a residential child detention facility is entitled to obtain from the department criminal history record information maintained by the department that relates to a person who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applicant for employment with, or who is or has been employed by, the facility;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consultant, contract employee, independent contractor, intern, or volunteer for the facility or an applicant to serve in one of those positions.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Criminal history record information obtained by the owner or operator under Subsection (b) may be used only to evaluate an applicant for employment with, or a current or former employee of, the facility.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owner or operator of a residential child detention facility may not release or disclose information obtained under Subsection (b) except on court order or with the consent of the person who is the subject of the criminal history record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After the expiration of any probationary term of the person's employment or not later than the 180th day after the date of receipt of the information, whichever is later, the owner or operator of the residential child detention facility shall destroy all criminal history record information obtained under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250.013, Local Government Code, is amended by amending Subsection (a) and adding Subsections (e) and (f) to read as follows:</w:t>
      </w:r>
    </w:p>
    <w:p w:rsidR="003F3435" w:rsidRDefault="0032493E">
      <w:pPr>
        <w:spacing w:line="480" w:lineRule="auto"/>
        <w:ind w:firstLine="720"/>
        <w:jc w:val="both"/>
      </w:pPr>
      <w:r>
        <w:t xml:space="preserve">(a)</w:t>
      </w:r>
      <w:r xml:space="preserve">
        <w:t> </w:t>
      </w:r>
      <w:r xml:space="preserve">
        <w:t> </w:t>
      </w:r>
      <w:r>
        <w:t xml:space="preserve">In this section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"Owner or operator" includes a for-profit or nonprofit organization.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"Residential</w:t>
      </w:r>
      <w:r>
        <w:t xml:space="preserve">[</w:t>
      </w:r>
      <w:r>
        <w:rPr>
          <w:strike/>
        </w:rPr>
        <w:t xml:space="preserve">, "residential</w:t>
      </w:r>
      <w:r>
        <w:t xml:space="preserve">] child detention facility" means a private facility other than a facility licensed by this state that operates under a contract with the United States Immigration and Customs Enforcement, the United States Department of Health and Human Services, or another federal agency to provide 24-hour custody or care to unaccompanied immigrant or refugee children.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or operator of a residential child detention facility shall enter into a memorandum of understanding with the governing body of the municipality or the commissioners court of the county that regulates the facility under this section.  The memorandum must require the facility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report illness at the facility to the appropriate local health authority;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to the governing body or court,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description of the facility's methods for preventing illness;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evacuation plan;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education plan for the children residing at the facility for submission to and regulation by the state;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quarterly compliance and safety inspection reports;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to the municipal police department or county sheriff's department, as applicable: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monthly facility occupancy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quarterly summary of all facility incident reports and all significant incident reports.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owner or operator of a residential child detention facility shall conduct a criminal history background check on all facility personnel if at least 10 percent of the owner's, operator's, or facility's operating expenses are provided directly or indirectly by the state.  Notwithstanding any other law, if the owner or operator fails to conduct the check, the facility is ineligible to receive state funding until the state conducts an audit of the facility and publishes a report of the audit that is available to the public.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1, 2025, a residential child detention facility shall enter into a memorandum of understanding required by Section 250.013(e), Local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