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 et al.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3120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2025; May</w:t>
      </w:r>
      <w:r xml:space="preserve">
        <w:t> </w:t>
      </w:r>
      <w:r>
        <w:t xml:space="preserve">7,</w:t>
      </w:r>
      <w:r xml:space="preserve">
        <w:t> </w:t>
      </w:r>
      <w:r>
        <w:t xml:space="preserve">2025, read first time and referred to Committee on Local Government; May</w:t>
      </w:r>
      <w:r xml:space="preserve">
        <w:t> </w:t>
      </w:r>
      <w:r>
        <w:t xml:space="preserve">22,</w:t>
      </w:r>
      <w:r xml:space="preserve">
        <w:t> </w:t>
      </w:r>
      <w:r>
        <w:t xml:space="preserve">2025, reported favorably by the following vote:</w:t>
      </w:r>
      <w:r>
        <w:t xml:space="preserve"> </w:t>
      </w:r>
      <w:r>
        <w:t xml:space="preserve"> </w:t>
      </w:r>
      <w:r>
        <w:t xml:space="preserve">Yeas 6, Nays 0; May</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duties of the owner or operator of a residential child detention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411.14103.</w:t>
      </w:r>
      <w:r>
        <w:rPr>
          <w:u w:val="single"/>
        </w:rPr>
        <w:t xml:space="preserve"> </w:t>
      </w:r>
      <w:r>
        <w:rPr>
          <w:u w:val="single"/>
        </w:rPr>
        <w:t xml:space="preserve"> </w:t>
      </w:r>
      <w:r>
        <w:rPr>
          <w:u w:val="single"/>
        </w:rPr>
        <w:t xml:space="preserve">ACCESS TO CRIMINAL HISTORY RECORD INFORMATION: RESIDENTIAL CHILD DETENTION FACILITIES. </w:t>
      </w:r>
      <w:r>
        <w:rPr>
          <w:u w:val="single"/>
        </w:rPr>
        <w:t xml:space="preserve"> </w:t>
      </w:r>
      <w:r>
        <w:rPr>
          <w:u w:val="single"/>
        </w:rPr>
        <w:t xml:space="preserve">(a) </w:t>
      </w:r>
      <w:r>
        <w:rPr>
          <w:u w:val="single"/>
        </w:rPr>
        <w:t xml:space="preserve"> </w:t>
      </w:r>
      <w:r>
        <w:rPr>
          <w:u w:val="single"/>
        </w:rPr>
        <w:t xml:space="preserve">In this section, "residential child detention facility" has the meaning assigned by Section 250.013,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operator of a residential child detention facility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with, or who is or has been employed by,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consultant, contract employee, independent contractor, intern, or volunteer for the facility or an applicant to serve in one of those positions.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owner or operator under Subsection (b) may be used only to evaluate an applicant for employment with, or a current or former employee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owner or operator of a residential child detention facility may not release or disclose information obtained under Subsection (b) except on court order or with the consent of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expiration of any probationary term of the person's employment or not later than the 180th day after the date of receipt of the information, whichever is later, the owner or operator of the residential child detention facility shall destroy all criminal history record information obtained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250.013, Local Government Code, is amended by amending Subsection (a)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 or operator" includes a for-profit or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w:t>
      </w:r>
      <w:r>
        <w:t xml:space="preserve">[</w:t>
      </w:r>
      <w:r>
        <w:rPr>
          <w:strike/>
        </w:rPr>
        <w:t xml:space="preserve">, "residential</w:t>
      </w:r>
      <w:r>
        <w:t xml:space="preserve">]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or operator of a residential child detention facility shall enter into a memorandum of understanding with the governing body of the municipality or the commissioners court of the county that regulates the facility under this section.  The memorandum must require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illness at the facility to the appropriate local health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governing body or court,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facility's methods for preventing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plan;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quarterly compliance and safety inspection reports;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municipal police department or county sheriff's department,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monthly facility occupancy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quarterly summary of all facility incident reports and all significant incident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or operator of a residential child detention facility shall conduct a criminal history background check on all facility personnel if at least 10 percent of the owner's, operator's, or facility's operating expenses are provided directly or indirectly by the state.  Notwithstanding any other law, if the owner or operator fails to conduct the check, the facility is ineligible to receive state funding until the state conducts an audit of the facility and publishes a report of the audit that is available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2025, a residential child detention facility shall enter into a memorandum of understanding required by Section 250.013(e),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