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w:t xml:space="preserve"> (Senate Sponsor</w:t>
      </w:r>
      <w:r xml:space="preserve">
        <w:t> </w:t>
      </w:r>
      <w:r>
        <w:t xml:space="preserve">-</w:t>
      </w:r>
      <w:r xml:space="preserve">
        <w:t> </w:t>
      </w:r>
      <w:r>
        <w:t xml:space="preserve">Cook, et al.)</w:t>
      </w:r>
      <w:r xml:space="preserve">
        <w:tab wTab="150" tlc="none" cTlc="0"/>
      </w:r>
      <w:r>
        <w:t xml:space="preserve">H.B.</w:t>
      </w:r>
      <w:r xml:space="preserve">
        <w:t> </w:t>
      </w:r>
      <w:r>
        <w:t xml:space="preserve">No.</w:t>
      </w:r>
      <w:r xml:space="preserve">
        <w:t> </w:t>
      </w:r>
      <w:r>
        <w:t xml:space="preserve">3151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14,</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9,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expedited credentialing of certain federally qualified health center providers by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540.0656(a)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 "applicant provider" means a physician or other health care provider</w:t>
      </w:r>
      <w:r>
        <w:rPr>
          <w:u w:val="single"/>
        </w:rPr>
        <w:t xml:space="preserve">, including a federally qualified health center as defined by 42 U.S.C. Section 1396d(l)(2)(B) or a health care provider for the federally qualified health center,</w:t>
      </w:r>
      <w:r>
        <w:t xml:space="preserve"> applying for expedited credentialing.</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rPr>
          <w:u w:val="single"/>
        </w:rPr>
        <w:t xml:space="preserve">have a current contract with a Medicaid managed care organization or</w:t>
      </w:r>
      <w:r>
        <w:t xml:space="preserve"> be a member of </w:t>
      </w:r>
      <w:r>
        <w:rPr>
          <w:u w:val="single"/>
        </w:rPr>
        <w:t xml:space="preserve">or a health care provider for 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