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Metcalf, Curry</w:t>
      </w:r>
      <w:r xml:space="preserve">
        <w:tab wTab="150" tlc="none" cTlc="0"/>
      </w:r>
      <w:r>
        <w:t xml:space="preserve">H.B.</w:t>
      </w:r>
      <w:r xml:space="preserve">
        <w:t> </w:t>
      </w:r>
      <w:r>
        <w:t xml:space="preserve">No.</w:t>
      </w:r>
      <w:r xml:space="preserve">
        <w:t> </w:t>
      </w:r>
      <w:r>
        <w:t xml:space="preserve">3185</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investigations of certain cybercrimes.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Subtitle B, Title 4, Government Code, is amended by adding Chapter 426 to read as follows:</w:t>
      </w:r>
    </w:p>
    <w:p w:rsidR="003F3435" w:rsidRDefault="0032493E">
      <w:pPr>
        <w:spacing w:line="480" w:lineRule="auto"/>
        <w:jc w:val="center"/>
      </w:pPr>
      <w:r>
        <w:rPr>
          <w:u w:val="single"/>
        </w:rPr>
        <w:t xml:space="preserve">CHAPTER 426.  CYBERCRIMES</w:t>
      </w:r>
    </w:p>
    <w:p w:rsidR="003F3435" w:rsidRDefault="0032493E">
      <w:pPr>
        <w:spacing w:line="480" w:lineRule="auto"/>
        <w:ind w:firstLine="720"/>
        <w:jc w:val="both"/>
      </w:pPr>
      <w:r>
        <w:rPr>
          <w:u w:val="single"/>
        </w:rPr>
        <w:t xml:space="preserve">Sec.</w:t>
      </w:r>
      <w:r>
        <w:rPr>
          <w:u w:val="single"/>
        </w:rPr>
        <w:t xml:space="preserve"> </w:t>
      </w:r>
      <w:r>
        <w:rPr>
          <w:u w:val="single"/>
        </w:rPr>
        <w:t xml:space="preserve">426.001.</w:t>
      </w:r>
      <w:r>
        <w:rPr>
          <w:u w:val="single"/>
        </w:rPr>
        <w:t xml:space="preserve"> </w:t>
      </w:r>
      <w:r>
        <w:rPr>
          <w:u w:val="single"/>
        </w:rPr>
        <w:t xml:space="preserve"> </w:t>
      </w:r>
      <w:r>
        <w:rPr>
          <w:u w:val="single"/>
        </w:rPr>
        <w:t xml:space="preserve">DEFINITION.  In this chapter, "cybercrime" means an offense: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under Chapter 31, 32, 33, 33A, 34, 35, 42, 71, 72, or 76, Penal Code;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that is committed using an Internet website or an electronic service account provided through an electronic communication service or remote computing service.</w:t>
      </w:r>
    </w:p>
    <w:p w:rsidR="003F3435" w:rsidRDefault="0032493E">
      <w:pPr>
        <w:spacing w:line="480" w:lineRule="auto"/>
        <w:ind w:firstLine="720"/>
        <w:jc w:val="both"/>
      </w:pPr>
      <w:r>
        <w:rPr>
          <w:u w:val="single"/>
        </w:rPr>
        <w:t xml:space="preserve">Sec.</w:t>
      </w:r>
      <w:r>
        <w:rPr>
          <w:u w:val="single"/>
        </w:rPr>
        <w:t xml:space="preserve"> </w:t>
      </w:r>
      <w:r>
        <w:rPr>
          <w:u w:val="single"/>
        </w:rPr>
        <w:t xml:space="preserve">426.002.</w:t>
      </w:r>
      <w:r>
        <w:rPr>
          <w:u w:val="single"/>
        </w:rPr>
        <w:t xml:space="preserve"> </w:t>
      </w:r>
      <w:r>
        <w:rPr>
          <w:u w:val="single"/>
        </w:rPr>
        <w:t xml:space="preserve"> </w:t>
      </w:r>
      <w:r>
        <w:rPr>
          <w:u w:val="single"/>
        </w:rPr>
        <w:t xml:space="preserve">ADMINISTRATIVE SUBPOENA.  (a)  A prosecuting attorney may issue and cause to be served an administrative subpoena that requires the production of records or other documentation as described by Subsection (c) if: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subpoena relates to an investigation of a cybercrime;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there is reasonable cause to believe that the Internet or electronic service account provided through an electronic communication service or remote computing service has been used in the commission of a cybercrime.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subpoena under Subsection (a) must: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describe any objects or items to be produced;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prescribe a reasonable return date by which those objects or items must be assembled and made available.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Except as provided by Subsection (d), a subpoena issued under Subsection (a) may require the production of any records or other documentation relevant to the investigation, including:</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name;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an address;</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 local or long distance telephone connection record, satellite-based Internet service provider connection record, or record of session time and duration;</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the duration of the applicable service, including the start date for the service and the type of service used;</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a telephone or instrument number or other number used to identify a subscriber, including a temporarily assigned network address; and</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the source of payment for the service, including a credit card or bank account number.</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A provider of an electronic communication service or remote computing service may not disclose the following information in response to a subpoena issued under Subsection (a):</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an in-transit electronic communication;</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an account membership related to an Internet group, newsgroup, mailing list, or specific area of interest;</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an account password; or</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any account content, including:</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any form of electronic mail;</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an address book, contact list, or buddy list; or</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Internet proxy content or Internet history.</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A provider of an electronic communication service or remote computing service shall disclose the information described by Subsection (d) if that disclosure is required by court order or warrant, to the extent that the disclosure is not prohibited by other law</w:t>
      </w:r>
      <w:r>
        <w:rPr>
          <w:u w:val="single"/>
        </w:rPr>
        <w:t xml:space="preserve">.</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A person authorized to serve process under the Texas Rules of Civil Procedure may serve a subpoena issued under Subsection (a).  The person shall serve the subpoena in accordance with the Texas Rules of Civil Procedure.</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Before the return date specified on a subpoena issued under Subsection (a), the person receiving the subpoena may, in an appropriate court located in the county where the subpoena was issued, petition for an order to modify or quash the subpoena or to prohibit disclosure of applicable information by a court.</w:t>
      </w:r>
    </w:p>
    <w:p w:rsidR="003F3435" w:rsidRDefault="0032493E">
      <w:pPr>
        <w:spacing w:line="480" w:lineRule="auto"/>
        <w:ind w:firstLine="720"/>
        <w:jc w:val="both"/>
      </w:pPr>
      <w:r>
        <w:rPr>
          <w:u w:val="single"/>
        </w:rPr>
        <w:t xml:space="preserve">(h)</w:t>
      </w:r>
      <w:r>
        <w:rPr>
          <w:u w:val="single"/>
        </w:rPr>
        <w:t xml:space="preserve"> </w:t>
      </w:r>
      <w:r>
        <w:rPr>
          <w:u w:val="single"/>
        </w:rPr>
        <w:t xml:space="preserve"> </w:t>
      </w:r>
      <w:r>
        <w:rPr>
          <w:u w:val="single"/>
        </w:rPr>
        <w:t xml:space="preserve">If a criminal case or proceeding does not result from the production of records or other documentation under this section within a reasonable period, the prosecuting attorney shall, as appropriate: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destroy the records or documentation;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return the records or documentation to the person who produced the records or documentation.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426.003.</w:t>
      </w:r>
      <w:r>
        <w:rPr>
          <w:u w:val="single"/>
        </w:rPr>
        <w:t xml:space="preserve"> </w:t>
      </w:r>
      <w:r>
        <w:rPr>
          <w:u w:val="single"/>
        </w:rPr>
        <w:t xml:space="preserve"> </w:t>
      </w:r>
      <w:r>
        <w:rPr>
          <w:u w:val="single"/>
        </w:rPr>
        <w:t xml:space="preserve">CONFIDENTIALITY OF INFORMATION.  Any information, records, or data reported or obtained under a subpoena issued under Section 426.002(a):</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is confidential;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may not be disclosed to any other person unless the disclosure is made as part of a criminal case related to those materials.</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3185</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