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Metcalf, et al.</w:t>
      </w:r>
      <w:r>
        <w:t xml:space="preserve"> (Senate Sponsor</w:t>
      </w:r>
      <w:r xml:space="preserve">
        <w:t> </w:t>
      </w:r>
      <w:r>
        <w:t xml:space="preserve">-</w:t>
      </w:r>
      <w:r xml:space="preserve">
        <w:t> </w:t>
      </w:r>
      <w:r>
        <w:t xml:space="preserve">Creighton)</w:t>
      </w:r>
      <w:r xml:space="preserve">
        <w:tab wTab="150" tlc="none" cTlc="0"/>
      </w:r>
      <w:r>
        <w:t xml:space="preserve">H.B.</w:t>
      </w:r>
      <w:r xml:space="preserve">
        <w:t> </w:t>
      </w:r>
      <w:r>
        <w:t xml:space="preserve">No.</w:t>
      </w:r>
      <w:r xml:space="preserve">
        <w:t> </w:t>
      </w:r>
      <w:r>
        <w:t xml:space="preserve">3185</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12,</w:t>
      </w:r>
      <w:r xml:space="preserve">
        <w:t> </w:t>
      </w:r>
      <w:r>
        <w:t xml:space="preserve">2025; May</w:t>
      </w:r>
      <w:r xml:space="preserve">
        <w:t> </w:t>
      </w:r>
      <w:r>
        <w:t xml:space="preserve">13,</w:t>
      </w:r>
      <w:r xml:space="preserve">
        <w:t> </w:t>
      </w:r>
      <w:r>
        <w:t xml:space="preserve">2025, read first time and referred to Committee on Criminal Justice; May</w:t>
      </w:r>
      <w:r xml:space="preserve">
        <w:t> </w:t>
      </w:r>
      <w:r>
        <w:t xml:space="preserve">23,</w:t>
      </w:r>
      <w:r xml:space="preserve">
        <w:t> </w:t>
      </w:r>
      <w:r>
        <w:t xml:space="preserve">2025, reported favorably by the following vote:</w:t>
      </w:r>
      <w:r>
        <w:t xml:space="preserve"> </w:t>
      </w:r>
      <w:r>
        <w:t xml:space="preserve"> </w:t>
      </w:r>
      <w:r>
        <w:t xml:space="preserve">Yeas 7, Nays 0; May</w:t>
      </w:r>
      <w:r xml:space="preserve">
        <w:t> </w:t>
      </w:r>
      <w:r>
        <w:t xml:space="preserve">23,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investigations of certain cybercrimes.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B, Title 4, Government Code, is amended by adding Chapter 426 to read as follows:</w:t>
      </w:r>
    </w:p>
    <w:p w:rsidR="003F3435" w:rsidRDefault="0032493E">
      <w:pPr>
        <w:spacing w:line="480" w:lineRule="auto"/>
        <w:jc w:val="center"/>
      </w:pPr>
      <w:r>
        <w:rPr>
          <w:u w:val="single"/>
        </w:rPr>
        <w:t xml:space="preserve">CHAPTER 426.  CYBERCRIMES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426.001.</w:t>
      </w:r>
      <w:r>
        <w:rPr>
          <w:u w:val="single"/>
        </w:rPr>
        <w:t xml:space="preserve"> </w:t>
      </w:r>
      <w:r>
        <w:rPr>
          <w:u w:val="single"/>
        </w:rPr>
        <w:t xml:space="preserve"> </w:t>
      </w:r>
      <w:r>
        <w:rPr>
          <w:u w:val="single"/>
        </w:rPr>
        <w:t xml:space="preserve">DEFINITION.  In this chapter, "cybercrime" means an offense: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under Chapter 31, 32, 33, 33A, 34, 35, 42, 71, 72, or 76, Penal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is committed using an Internet website or an electronic service account provided through an electronic communication service or remote computing service.</w:t>
      </w:r>
    </w:p>
    <w:p w:rsidR="003F3435" w:rsidRDefault="0032493E">
      <w:pPr>
        <w:spacing w:line="480" w:lineRule="auto"/>
        <w:ind w:firstLine="720"/>
        <w:jc w:val="both"/>
      </w:pPr>
      <w:r>
        <w:rPr>
          <w:u w:val="single"/>
        </w:rPr>
        <w:t xml:space="preserve">Sec.</w:t>
      </w:r>
      <w:r>
        <w:rPr>
          <w:u w:val="single"/>
        </w:rPr>
        <w:t xml:space="preserve"> </w:t>
      </w:r>
      <w:r>
        <w:rPr>
          <w:u w:val="single"/>
        </w:rPr>
        <w:t xml:space="preserve">426.002.</w:t>
      </w:r>
      <w:r>
        <w:rPr>
          <w:u w:val="single"/>
        </w:rPr>
        <w:t xml:space="preserve"> </w:t>
      </w:r>
      <w:r>
        <w:rPr>
          <w:u w:val="single"/>
        </w:rPr>
        <w:t xml:space="preserve"> </w:t>
      </w:r>
      <w:r>
        <w:rPr>
          <w:u w:val="single"/>
        </w:rPr>
        <w:t xml:space="preserve">ADMINISTRATIVE SUBPOENA.  (a)  A prosecuting attorney may issue and cause to be served an administrative subpoena that requires the production of records or other documentation as described by Subsection (c)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subpoena relates to an investigation of a cybercrime;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there is reasonable cause to believe that the Internet or electronic service account provided through an electronic communication service or remote computing service has been used in the commission of a cybercrime.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subpoena under Subsection (a)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describe any objects or items to be produced;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prescribe a reasonable return date by which those objects or items must be assembled and made available.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Subsection (d), a subpoena issued under Subsection (a) may require the production of any records or other documentation relevant to the investigation,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name;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address;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local or long distance telephone connection record, satellite-based Internet service provider connection record, or record of session time and duration;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duration of the applicable service, including the start date for the service and the type of service used;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telephone or instrument number or other number used to identify a subscriber, including a temporarily assigned network address;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source of payment for the service, including a credit card or bank account number.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provider of an electronic communication service or remote computing service may not disclose the following information in response to a subpoena issued under Subsection (a):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in-transit electronic communication;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account membership related to an Internet group, newsgroup, mailing list, or specific area of interest;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account password;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any account content,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any form of electronic mail;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address book, contact list, or buddy list;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Internet proxy content or Internet history.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provider of an electronic communication service or remote computing service shall disclose the information described by Subsection (d) if that disclosure is required by court order or warrant, to the extent that the disclosure is not prohibited by other law.</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person authorized to serve process under the Texas Rules of Civil Procedure may serve a subpoena issued under Subsection (a).  The person shall serve the subpoena in accordance with the Texas Rules of Civil Procedure.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Before the return date specified on a subpoena issued under Subsection (a), the person receiving the subpoena may, in an appropriate court located in the county where the subpoena was issued, petition for an order to modify or quash the subpoena or to prohibit disclosure of applicable information by a court.</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If a criminal case or proceeding does not result from the production of records or other documentation under this section within a reasonable period, the prosecuting attorney shall, as appropriate: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destroy the records or documentation;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return the records or documentation to the person who produced the records or documentation.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426.003.</w:t>
      </w:r>
      <w:r>
        <w:rPr>
          <w:u w:val="single"/>
        </w:rPr>
        <w:t xml:space="preserve"> </w:t>
      </w:r>
      <w:r>
        <w:rPr>
          <w:u w:val="single"/>
        </w:rPr>
        <w:t xml:space="preserve"> </w:t>
      </w:r>
      <w:r>
        <w:rPr>
          <w:u w:val="single"/>
        </w:rPr>
        <w:t xml:space="preserve">CONFIDENTIALITY OF INFORMATION.  Any information, records, or data reported or obtained under a subpoena issued under Section 426.002(a):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confidential;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be disclosed to any other person unless the disclosure is made as part of a criminal case related to those materials.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3185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