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Raymond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3188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prohibiting the purchase of certain food items under the supplemental nutrition assistance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33, Human Resources Code, is amended by adding Section 33.031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33.031.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PURCHASE OF CERTAIN FOOD ITEMS PROHIBITED UNDER SUPPLEMENTAL NUTRITION ASSISTANCE PROGRAM.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"Milk product" means a natural milk product regardless of animal source or butterfat content and regardless of whether reconstituted, including milk in liquid form, milk concentrate, and dehydrated milk.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"Sweetened beverage" means a nonalcoholic beverage to which a natural or artificial sweetener is added that is sold for human consumption, including a soft drink, a fruit or vegetable juice, and other flavored beverages.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by Subsection (c), a recipient may not use supplemental nutrition assistance benefits to purchase: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sweetened beverage;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candy ordinarily packaged and sold for consumption without further preparation;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potato or corn chips ordinarily packaged and sold for consumption without further preparation;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cookies ordinarily packaged and sold for consumption without further preparation.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prohibition under Subsection (b) does not apply to the purchase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milk product or a product containing milk or a milk protein;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milk substitute, including soy milk, rice milk, or almond milk;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beverage in which the only added sweetener does not add calories to the beverage;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beverage intended by the manufacturer for consumption by an infant that is commonly referred to as "infant formula";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beverage intended by the manufacturer for use for weight reduction;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fruit or vegetable juice to which no sugar has been added;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beverage or other product intended for use as recommended by a health care professional, as defined by Section 247.067, Health and Safety Code;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beverage or other product that contains plant protein sources;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product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fortified with a vitamin or mineral;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contains a source of protein.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If before implementing any provision of this Act a state agency determines that authorization from a federal agency is necessary for implementation of that provision, the agency affected by the provision shall request the authorization and may delay implementing that provision until the authorization is granted.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3188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