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89R13424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Button, Longoria,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Wilson, VanDeaver,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