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89R5851 CMO-F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Harris 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3315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permissible uses of the Texas water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15.502(b), Water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may use the fund only to transfer money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water assistance fund established under Subchapter B;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new water supply for Texas fund established under Subchapter C-1;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state water implementation fund for Texas established under Subchapter 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state water implementation revenue fund for Texas established under Subchapter H;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flood infrastructure fund established under Subchapter I;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revolving fund established under Subchapter J;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rural water assistance fund established under Subchapter 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statewide water public awareness account established under Section 16.027;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the Texas Water Development Fund II water financial assistance account established under Section 17.959;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Texas Water Development Fund II state participation account established under Section 17.957.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3315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