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river segments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"Classified segment" means any portion of Devils River located in Val Verde County and identified in Appendices A and C of 30 T.A.C. Section 307.10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"Unclassified water body" means a water body other than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 may not issue a new permit authorizing the direct discharge from a domestic or industrial wastewater treatment facility of any waste, effluent, or pollutants into a classified segment or an unclassified water body in Val Verde County that drains into a classified segment.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or general permit for a municipal separate storm sewer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3333 was passed by the House on May 15, 2025, by the following vote:</w:t>
      </w:r>
      <w:r xml:space="preserve">
        <w:t> </w:t>
      </w:r>
      <w:r xml:space="preserve">
        <w:t> </w:t>
      </w:r>
      <w:r>
        <w:t xml:space="preserve">Yeas 113, Nays 26, 2 present, not voting; and that the House concurred in Senate amendments to H.B. No. 3333 on May 30, 2025, by the following vote:</w:t>
      </w:r>
      <w:r xml:space="preserve">
        <w:t> </w:t>
      </w:r>
      <w:r xml:space="preserve">
        <w:t> </w:t>
      </w:r>
      <w:r>
        <w:t xml:space="preserve">Yeas 99, Nays 37,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3333 was passed by the Senate, with amendments, on May 28,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