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89R17557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3333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3333:</w:t>
      </w: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C.S.H.B.</w:t>
      </w:r>
      <w:r xml:space="preserve">
        <w:t> </w:t>
      </w:r>
      <w:r>
        <w:t xml:space="preserve">No.</w:t>
      </w:r>
      <w:r xml:space="preserve">
        <w:t> </w:t>
      </w:r>
      <w:r>
        <w:t xml:space="preserve">3333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permits authorizing direct discharges of waste or pollutants into water in certain stream segments, stream assessment units, and drainage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26.0275.</w:t>
      </w:r>
      <w:r>
        <w:rPr>
          <w:u w:val="single"/>
        </w:rPr>
        <w:t xml:space="preserve"> </w:t>
      </w:r>
      <w:r>
        <w:rPr>
          <w:u w:val="single"/>
        </w:rPr>
        <w:t xml:space="preserve"> </w:t>
      </w:r>
      <w:r>
        <w:rPr>
          <w:u w:val="single"/>
        </w:rPr>
        <w:t xml:space="preserve">RESTRICTION ON PERMITS FOR DISCHARGES INTO CERTAIN SEGMENTS, ASSESSMENT UNITS, AND DRAINAGE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unit" has the meaning assigned by the commission's Surface Water Quality Monitoring Program as it existed on September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"Classified segment" means any portion of Devils River located in Val Verde County and identified in Appendices A and C of 30 T.A.C. Section 307.10 as it existed on September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"Drainage area" means any unclassified water body that drains to a stream segment or a stream assessment unit to which this section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"Stream assessment unit" means an assessment unit for a stream, creek, or river, or a portion of a stream, creek, or river, that is located within a classified segment that is not a stream segment to which this section applies.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"Stream segment" means a stream, creek, or river, or a portion of a stream, creek, or river, that is a classified segment.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"Unclassified water body" means a water body other than a classified segment or an assessment unit located within a classified segment.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 may not issue a new permit authorizing the direct discharge from a domestic, industrial, or commercial wastewater treatment facility of any waste, effluent, or pollutants into a stream segment, stream assessment unit, or drainage area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the commission to issue: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permit for a municipal separate storm sewer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permit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