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personal services performed by school district administrators;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11, Education Code, is amended by adding Section 11.006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ACTIVITIES BY ADMINISTRATORS.  (a)  In this section, "administrator" means a person who has significant administrative duties relating to the operation of a school district, including the operation of a campus, program, or other subdivision of the district.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 school district employee whose employment contract responsibilities primarily include the in-classroom instruction of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may not </w:t>
      </w:r>
      <w:r>
        <w:rPr>
          <w:u w:val="single"/>
        </w:rPr>
        <w:t xml:space="preserve">receive any financial benefit for the performance of personal services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business entity that conducts or solicits business with the school district that employs the administrator;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education business that provides services regarding the curriculum or administration of any school district;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school district, open-enrollment charter school, or regional education service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who violates this section is liable to the state for a civil penalty in the amount of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11.201(e),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